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Ind w:w="113" w:type="dxa"/>
        <w:tblLook w:val="04A0" w:firstRow="1" w:lastRow="0" w:firstColumn="1" w:lastColumn="0" w:noHBand="0" w:noVBand="1"/>
      </w:tblPr>
      <w:tblGrid>
        <w:gridCol w:w="1077"/>
        <w:gridCol w:w="2156"/>
        <w:gridCol w:w="1261"/>
        <w:gridCol w:w="867"/>
        <w:gridCol w:w="2407"/>
        <w:gridCol w:w="927"/>
        <w:gridCol w:w="4641"/>
        <w:gridCol w:w="875"/>
      </w:tblGrid>
      <w:tr w:rsidR="007B0A72" w:rsidRPr="007B0A72" w14:paraId="7BCE1CF2" w14:textId="77777777" w:rsidTr="007B0A72">
        <w:trPr>
          <w:trHeight w:val="460"/>
        </w:trPr>
        <w:tc>
          <w:tcPr>
            <w:tcW w:w="1061" w:type="dxa"/>
            <w:tcBorders>
              <w:top w:val="single" w:sz="4" w:space="0" w:color="auto"/>
              <w:left w:val="single" w:sz="4" w:space="0" w:color="auto"/>
              <w:bottom w:val="nil"/>
              <w:right w:val="single" w:sz="4" w:space="0" w:color="auto"/>
            </w:tcBorders>
            <w:shd w:val="clear" w:color="000000" w:fill="BDD7EE"/>
            <w:hideMark/>
          </w:tcPr>
          <w:p w14:paraId="6D6650B8"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Measure</w:t>
            </w:r>
          </w:p>
        </w:tc>
        <w:tc>
          <w:tcPr>
            <w:tcW w:w="2156" w:type="dxa"/>
            <w:tcBorders>
              <w:top w:val="single" w:sz="4" w:space="0" w:color="auto"/>
              <w:left w:val="nil"/>
              <w:bottom w:val="nil"/>
              <w:right w:val="single" w:sz="4" w:space="0" w:color="auto"/>
            </w:tcBorders>
            <w:shd w:val="clear" w:color="000000" w:fill="BDD7EE"/>
            <w:hideMark/>
          </w:tcPr>
          <w:p w14:paraId="093394BD"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Measure</w:t>
            </w:r>
          </w:p>
        </w:tc>
        <w:tc>
          <w:tcPr>
            <w:tcW w:w="1261" w:type="dxa"/>
            <w:tcBorders>
              <w:top w:val="single" w:sz="4" w:space="0" w:color="auto"/>
              <w:left w:val="nil"/>
              <w:bottom w:val="nil"/>
              <w:right w:val="single" w:sz="4" w:space="0" w:color="auto"/>
            </w:tcBorders>
            <w:shd w:val="clear" w:color="000000" w:fill="BDD7EE"/>
            <w:hideMark/>
          </w:tcPr>
          <w:p w14:paraId="1ADDCDBC"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 xml:space="preserve">Reporting Frequency </w:t>
            </w:r>
          </w:p>
        </w:tc>
        <w:tc>
          <w:tcPr>
            <w:tcW w:w="855" w:type="dxa"/>
            <w:tcBorders>
              <w:top w:val="single" w:sz="4" w:space="0" w:color="auto"/>
              <w:left w:val="nil"/>
              <w:bottom w:val="nil"/>
              <w:right w:val="single" w:sz="4" w:space="0" w:color="auto"/>
            </w:tcBorders>
            <w:shd w:val="clear" w:color="000000" w:fill="BDD7EE"/>
            <w:hideMark/>
          </w:tcPr>
          <w:p w14:paraId="4A2A6C2E"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2022/23</w:t>
            </w:r>
          </w:p>
        </w:tc>
        <w:tc>
          <w:tcPr>
            <w:tcW w:w="2407" w:type="dxa"/>
            <w:tcBorders>
              <w:top w:val="single" w:sz="4" w:space="0" w:color="auto"/>
              <w:left w:val="nil"/>
              <w:bottom w:val="nil"/>
              <w:right w:val="single" w:sz="4" w:space="0" w:color="auto"/>
            </w:tcBorders>
            <w:shd w:val="clear" w:color="000000" w:fill="BDD7EE"/>
            <w:hideMark/>
          </w:tcPr>
          <w:p w14:paraId="5884F41B"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2023/24</w:t>
            </w:r>
          </w:p>
        </w:tc>
        <w:tc>
          <w:tcPr>
            <w:tcW w:w="914" w:type="dxa"/>
            <w:tcBorders>
              <w:top w:val="single" w:sz="4" w:space="0" w:color="auto"/>
              <w:left w:val="nil"/>
              <w:bottom w:val="nil"/>
              <w:right w:val="single" w:sz="4" w:space="0" w:color="auto"/>
            </w:tcBorders>
            <w:shd w:val="clear" w:color="000000" w:fill="BDD7EE"/>
            <w:hideMark/>
          </w:tcPr>
          <w:p w14:paraId="7F959003"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 </w:t>
            </w:r>
          </w:p>
        </w:tc>
        <w:tc>
          <w:tcPr>
            <w:tcW w:w="464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27C2CBFC" w14:textId="77777777" w:rsidR="007B0A72" w:rsidRPr="007B0A72" w:rsidRDefault="007B0A72" w:rsidP="007B0A72">
            <w:pPr>
              <w:jc w:val="center"/>
              <w:rPr>
                <w:rFonts w:eastAsia="Times New Roman"/>
                <w:b/>
                <w:bCs/>
                <w:sz w:val="18"/>
                <w:szCs w:val="18"/>
                <w:lang w:eastAsia="en-GB"/>
              </w:rPr>
            </w:pPr>
            <w:r w:rsidRPr="007B0A72">
              <w:rPr>
                <w:rFonts w:eastAsia="Times New Roman"/>
                <w:b/>
                <w:bCs/>
                <w:sz w:val="18"/>
                <w:szCs w:val="18"/>
                <w:lang w:eastAsia="en-GB"/>
              </w:rPr>
              <w:t xml:space="preserve">Comments </w:t>
            </w: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771856FD" w14:textId="77777777" w:rsidR="007B0A72" w:rsidRPr="007B0A72" w:rsidRDefault="007B0A72" w:rsidP="007B0A72">
            <w:pPr>
              <w:jc w:val="center"/>
              <w:rPr>
                <w:rFonts w:eastAsia="Times New Roman"/>
                <w:b/>
                <w:bCs/>
                <w:sz w:val="18"/>
                <w:szCs w:val="18"/>
                <w:lang w:eastAsia="en-GB"/>
              </w:rPr>
            </w:pPr>
            <w:r w:rsidRPr="007B0A72">
              <w:rPr>
                <w:rFonts w:eastAsia="Times New Roman"/>
                <w:b/>
                <w:bCs/>
                <w:sz w:val="18"/>
                <w:szCs w:val="18"/>
                <w:lang w:eastAsia="en-GB"/>
              </w:rPr>
              <w:t>RAG Rating</w:t>
            </w:r>
          </w:p>
        </w:tc>
      </w:tr>
      <w:tr w:rsidR="007B0A72" w:rsidRPr="007B0A72" w14:paraId="58BA0268" w14:textId="77777777" w:rsidTr="007B0A72">
        <w:trPr>
          <w:trHeight w:val="920"/>
        </w:trPr>
        <w:tc>
          <w:tcPr>
            <w:tcW w:w="1061" w:type="dxa"/>
            <w:tcBorders>
              <w:top w:val="single" w:sz="4" w:space="0" w:color="auto"/>
              <w:left w:val="single" w:sz="4" w:space="0" w:color="auto"/>
              <w:bottom w:val="single" w:sz="4" w:space="0" w:color="auto"/>
              <w:right w:val="single" w:sz="4" w:space="0" w:color="auto"/>
            </w:tcBorders>
            <w:shd w:val="clear" w:color="000000" w:fill="BDD7EE"/>
            <w:hideMark/>
          </w:tcPr>
          <w:p w14:paraId="2D3965A1"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Corporate or Service KPI</w:t>
            </w:r>
          </w:p>
        </w:tc>
        <w:tc>
          <w:tcPr>
            <w:tcW w:w="2156" w:type="dxa"/>
            <w:tcBorders>
              <w:top w:val="single" w:sz="4" w:space="0" w:color="auto"/>
              <w:left w:val="nil"/>
              <w:bottom w:val="single" w:sz="4" w:space="0" w:color="auto"/>
              <w:right w:val="single" w:sz="4" w:space="0" w:color="auto"/>
            </w:tcBorders>
            <w:shd w:val="clear" w:color="000000" w:fill="BDD7EE"/>
            <w:hideMark/>
          </w:tcPr>
          <w:p w14:paraId="0DFC92C1"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 xml:space="preserve">Description </w:t>
            </w:r>
          </w:p>
        </w:tc>
        <w:tc>
          <w:tcPr>
            <w:tcW w:w="1261" w:type="dxa"/>
            <w:tcBorders>
              <w:top w:val="single" w:sz="4" w:space="0" w:color="auto"/>
              <w:left w:val="nil"/>
              <w:bottom w:val="single" w:sz="4" w:space="0" w:color="auto"/>
              <w:right w:val="single" w:sz="4" w:space="0" w:color="auto"/>
            </w:tcBorders>
            <w:shd w:val="clear" w:color="000000" w:fill="BDD7EE"/>
            <w:hideMark/>
          </w:tcPr>
          <w:p w14:paraId="2D96B19C"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 </w:t>
            </w:r>
          </w:p>
        </w:tc>
        <w:tc>
          <w:tcPr>
            <w:tcW w:w="855" w:type="dxa"/>
            <w:tcBorders>
              <w:top w:val="single" w:sz="4" w:space="0" w:color="auto"/>
              <w:left w:val="nil"/>
              <w:bottom w:val="single" w:sz="4" w:space="0" w:color="auto"/>
              <w:right w:val="single" w:sz="4" w:space="0" w:color="auto"/>
            </w:tcBorders>
            <w:shd w:val="clear" w:color="000000" w:fill="BDD7EE"/>
            <w:hideMark/>
          </w:tcPr>
          <w:p w14:paraId="092869B1"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 xml:space="preserve">EOY result </w:t>
            </w:r>
          </w:p>
        </w:tc>
        <w:tc>
          <w:tcPr>
            <w:tcW w:w="2407" w:type="dxa"/>
            <w:tcBorders>
              <w:top w:val="single" w:sz="4" w:space="0" w:color="auto"/>
              <w:left w:val="nil"/>
              <w:bottom w:val="single" w:sz="4" w:space="0" w:color="auto"/>
              <w:right w:val="single" w:sz="4" w:space="0" w:color="auto"/>
            </w:tcBorders>
            <w:shd w:val="clear" w:color="000000" w:fill="BDD7EE"/>
            <w:hideMark/>
          </w:tcPr>
          <w:p w14:paraId="6E6B71BB"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 xml:space="preserve">Target EOY </w:t>
            </w:r>
          </w:p>
        </w:tc>
        <w:tc>
          <w:tcPr>
            <w:tcW w:w="914" w:type="dxa"/>
            <w:tcBorders>
              <w:top w:val="single" w:sz="4" w:space="0" w:color="auto"/>
              <w:left w:val="nil"/>
              <w:bottom w:val="single" w:sz="4" w:space="0" w:color="auto"/>
              <w:right w:val="single" w:sz="4" w:space="0" w:color="auto"/>
            </w:tcBorders>
            <w:shd w:val="clear" w:color="000000" w:fill="BDD7EE"/>
            <w:hideMark/>
          </w:tcPr>
          <w:p w14:paraId="2AF7093F"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Results at end of Q4 (March 2024)</w:t>
            </w:r>
          </w:p>
        </w:tc>
        <w:tc>
          <w:tcPr>
            <w:tcW w:w="4641" w:type="dxa"/>
            <w:vMerge/>
            <w:tcBorders>
              <w:top w:val="single" w:sz="4" w:space="0" w:color="auto"/>
              <w:left w:val="single" w:sz="4" w:space="0" w:color="auto"/>
              <w:bottom w:val="single" w:sz="4" w:space="0" w:color="000000"/>
              <w:right w:val="single" w:sz="4" w:space="0" w:color="auto"/>
            </w:tcBorders>
            <w:vAlign w:val="center"/>
            <w:hideMark/>
          </w:tcPr>
          <w:p w14:paraId="622A8888" w14:textId="77777777" w:rsidR="007B0A72" w:rsidRPr="007B0A72" w:rsidRDefault="007B0A72" w:rsidP="007B0A72">
            <w:pPr>
              <w:rPr>
                <w:rFonts w:eastAsia="Times New Roman"/>
                <w:b/>
                <w:bCs/>
                <w:sz w:val="18"/>
                <w:szCs w:val="18"/>
                <w:lang w:eastAsia="en-GB"/>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14C4B0A9" w14:textId="77777777" w:rsidR="007B0A72" w:rsidRPr="007B0A72" w:rsidRDefault="007B0A72" w:rsidP="007B0A72">
            <w:pPr>
              <w:rPr>
                <w:rFonts w:eastAsia="Times New Roman"/>
                <w:b/>
                <w:bCs/>
                <w:sz w:val="18"/>
                <w:szCs w:val="18"/>
                <w:lang w:eastAsia="en-GB"/>
              </w:rPr>
            </w:pPr>
          </w:p>
        </w:tc>
      </w:tr>
      <w:tr w:rsidR="007B0A72" w:rsidRPr="007B0A72" w14:paraId="62A5E8CD" w14:textId="77777777" w:rsidTr="007B0A72">
        <w:trPr>
          <w:trHeight w:val="7130"/>
        </w:trPr>
        <w:tc>
          <w:tcPr>
            <w:tcW w:w="1061" w:type="dxa"/>
            <w:tcBorders>
              <w:top w:val="nil"/>
              <w:left w:val="single" w:sz="4" w:space="0" w:color="auto"/>
              <w:bottom w:val="single" w:sz="4" w:space="0" w:color="auto"/>
              <w:right w:val="single" w:sz="4" w:space="0" w:color="auto"/>
            </w:tcBorders>
            <w:shd w:val="clear" w:color="auto" w:fill="auto"/>
            <w:noWrap/>
            <w:hideMark/>
          </w:tcPr>
          <w:p w14:paraId="57B14BC2" w14:textId="77777777" w:rsid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 xml:space="preserve">Corporate </w:t>
            </w:r>
          </w:p>
          <w:p w14:paraId="72FB46C4" w14:textId="79C1E62E" w:rsidR="00564C79" w:rsidRPr="007B0A72" w:rsidRDefault="00564C79" w:rsidP="007B0A72">
            <w:pPr>
              <w:rPr>
                <w:rFonts w:eastAsia="Times New Roman"/>
                <w:color w:val="444444"/>
                <w:sz w:val="18"/>
                <w:szCs w:val="18"/>
                <w:lang w:eastAsia="en-GB"/>
              </w:rPr>
            </w:pPr>
          </w:p>
        </w:tc>
        <w:tc>
          <w:tcPr>
            <w:tcW w:w="2156" w:type="dxa"/>
            <w:tcBorders>
              <w:top w:val="nil"/>
              <w:left w:val="nil"/>
              <w:bottom w:val="single" w:sz="4" w:space="0" w:color="auto"/>
              <w:right w:val="single" w:sz="4" w:space="0" w:color="auto"/>
            </w:tcBorders>
            <w:shd w:val="clear" w:color="auto" w:fill="auto"/>
            <w:hideMark/>
          </w:tcPr>
          <w:p w14:paraId="2CD6B821"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Number of rough sleepers without an offer of accommodation</w:t>
            </w:r>
          </w:p>
        </w:tc>
        <w:tc>
          <w:tcPr>
            <w:tcW w:w="1261" w:type="dxa"/>
            <w:tcBorders>
              <w:top w:val="nil"/>
              <w:left w:val="nil"/>
              <w:bottom w:val="single" w:sz="4" w:space="0" w:color="auto"/>
              <w:right w:val="single" w:sz="4" w:space="0" w:color="auto"/>
            </w:tcBorders>
            <w:shd w:val="clear" w:color="auto" w:fill="auto"/>
            <w:noWrap/>
            <w:hideMark/>
          </w:tcPr>
          <w:p w14:paraId="44628542"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tcBorders>
              <w:top w:val="nil"/>
              <w:left w:val="nil"/>
              <w:bottom w:val="single" w:sz="4" w:space="0" w:color="auto"/>
              <w:right w:val="single" w:sz="4" w:space="0" w:color="auto"/>
            </w:tcBorders>
            <w:shd w:val="clear" w:color="auto" w:fill="auto"/>
            <w:noWrap/>
            <w:hideMark/>
          </w:tcPr>
          <w:p w14:paraId="129F0275"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34</w:t>
            </w:r>
          </w:p>
        </w:tc>
        <w:tc>
          <w:tcPr>
            <w:tcW w:w="2407" w:type="dxa"/>
            <w:tcBorders>
              <w:top w:val="nil"/>
              <w:left w:val="nil"/>
              <w:bottom w:val="single" w:sz="4" w:space="0" w:color="auto"/>
              <w:right w:val="single" w:sz="4" w:space="0" w:color="auto"/>
            </w:tcBorders>
            <w:shd w:val="clear" w:color="auto" w:fill="auto"/>
            <w:noWrap/>
            <w:hideMark/>
          </w:tcPr>
          <w:p w14:paraId="792DEEEF"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30</w:t>
            </w:r>
          </w:p>
        </w:tc>
        <w:tc>
          <w:tcPr>
            <w:tcW w:w="914" w:type="dxa"/>
            <w:tcBorders>
              <w:top w:val="nil"/>
              <w:left w:val="nil"/>
              <w:bottom w:val="single" w:sz="4" w:space="0" w:color="auto"/>
              <w:right w:val="single" w:sz="4" w:space="0" w:color="auto"/>
            </w:tcBorders>
            <w:shd w:val="clear" w:color="auto" w:fill="auto"/>
            <w:noWrap/>
            <w:hideMark/>
          </w:tcPr>
          <w:p w14:paraId="72343C02"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32</w:t>
            </w:r>
          </w:p>
        </w:tc>
        <w:tc>
          <w:tcPr>
            <w:tcW w:w="4641" w:type="dxa"/>
            <w:tcBorders>
              <w:top w:val="nil"/>
              <w:left w:val="nil"/>
              <w:bottom w:val="single" w:sz="4" w:space="0" w:color="auto"/>
              <w:right w:val="single" w:sz="4" w:space="0" w:color="auto"/>
            </w:tcBorders>
            <w:shd w:val="clear" w:color="auto" w:fill="auto"/>
            <w:hideMark/>
          </w:tcPr>
          <w:p w14:paraId="2CED3E5F" w14:textId="610352F1"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At the end of March 2023,  39 individuals were estimated to be sleeping rough in the </w:t>
            </w:r>
            <w:r w:rsidR="00754779">
              <w:rPr>
                <w:rFonts w:eastAsia="Times New Roman"/>
                <w:color w:val="000000"/>
                <w:sz w:val="18"/>
                <w:szCs w:val="18"/>
                <w:lang w:eastAsia="en-GB"/>
              </w:rPr>
              <w:t>C</w:t>
            </w:r>
            <w:r w:rsidRPr="007B0A72">
              <w:rPr>
                <w:rFonts w:eastAsia="Times New Roman"/>
                <w:color w:val="000000"/>
                <w:sz w:val="18"/>
                <w:szCs w:val="18"/>
                <w:lang w:eastAsia="en-GB"/>
              </w:rPr>
              <w:t xml:space="preserve">ity on a single night. 32 of these individuals did not have an accommodation offer. This is an increase from 23 at the end of Q3, and highest since July 2023. We have seen an increase in the number of individuals new to rough sleeping in the City over the quarter, which contributes to this increase. We have a good offer in place for persons new to rough sleeping through the Somewhere Safe to Stay (SStS) service and a large proportion of the individuals new to rough sleeping have only been seen sleeping rough once, before being assisted to find alternative solutions. The largest group of people rough sleeping in the City continues to be long term rough sleepers or those returning to rough sleeping. Access to supported accommodation for this group continues to be difficult, with long waiting lists. We are working to improve referral and access criteria for supported accommodation to address this challenge. We also continue to see people with no recourse to public funds and options for this group remain limited, our outreach team continue to with work other support agencies to assist these individuals.  Over the last few months, there has been a steady increase in the number of individuals rough sleeping due to being asked to leave Home Office accommodation in the City. The outreach team works with all relevant agencies, including a 2-weekly multi-agency meeting, to offer support to these individuals. There is also dedicated support from other agencies such as Asylum Welcome and our own Options Team for individuals being asked to leave Home Office accommodation. </w:t>
            </w:r>
          </w:p>
          <w:p w14:paraId="58EF1C39" w14:textId="1E5044A6" w:rsidR="00564C79" w:rsidRPr="007B0A72" w:rsidRDefault="00564C79" w:rsidP="007B0A72">
            <w:pPr>
              <w:rPr>
                <w:rFonts w:eastAsia="Times New Roman"/>
                <w:color w:val="000000"/>
                <w:sz w:val="18"/>
                <w:szCs w:val="18"/>
                <w:lang w:eastAsia="en-GB"/>
              </w:rPr>
            </w:pPr>
          </w:p>
        </w:tc>
        <w:tc>
          <w:tcPr>
            <w:tcW w:w="875" w:type="dxa"/>
            <w:tcBorders>
              <w:top w:val="nil"/>
              <w:left w:val="nil"/>
              <w:bottom w:val="single" w:sz="4" w:space="0" w:color="auto"/>
              <w:right w:val="single" w:sz="4" w:space="0" w:color="auto"/>
            </w:tcBorders>
            <w:shd w:val="clear" w:color="000000" w:fill="FF0000"/>
            <w:noWrap/>
            <w:hideMark/>
          </w:tcPr>
          <w:p w14:paraId="681AAE84"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Red</w:t>
            </w:r>
          </w:p>
        </w:tc>
      </w:tr>
      <w:tr w:rsidR="007B0A72" w:rsidRPr="007B0A72" w14:paraId="367ECD9F" w14:textId="77777777" w:rsidTr="007B0A72">
        <w:trPr>
          <w:trHeight w:val="1610"/>
        </w:trPr>
        <w:tc>
          <w:tcPr>
            <w:tcW w:w="1061" w:type="dxa"/>
            <w:vMerge w:val="restart"/>
            <w:tcBorders>
              <w:top w:val="nil"/>
              <w:left w:val="single" w:sz="4" w:space="0" w:color="auto"/>
              <w:bottom w:val="single" w:sz="4" w:space="0" w:color="000000"/>
              <w:right w:val="single" w:sz="4" w:space="0" w:color="auto"/>
            </w:tcBorders>
            <w:shd w:val="clear" w:color="auto" w:fill="auto"/>
            <w:noWrap/>
            <w:hideMark/>
          </w:tcPr>
          <w:p w14:paraId="11E0DB10"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lastRenderedPageBreak/>
              <w:t>Service</w:t>
            </w:r>
          </w:p>
        </w:tc>
        <w:tc>
          <w:tcPr>
            <w:tcW w:w="2156" w:type="dxa"/>
            <w:vMerge w:val="restart"/>
            <w:tcBorders>
              <w:top w:val="nil"/>
              <w:left w:val="single" w:sz="4" w:space="0" w:color="auto"/>
              <w:bottom w:val="single" w:sz="4" w:space="0" w:color="000000"/>
              <w:right w:val="single" w:sz="4" w:space="0" w:color="auto"/>
            </w:tcBorders>
            <w:shd w:val="clear" w:color="auto" w:fill="auto"/>
            <w:hideMark/>
          </w:tcPr>
          <w:p w14:paraId="7A40BF70"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 xml:space="preserve">Households in temporary accommodation </w:t>
            </w:r>
          </w:p>
        </w:tc>
        <w:tc>
          <w:tcPr>
            <w:tcW w:w="1261" w:type="dxa"/>
            <w:vMerge w:val="restart"/>
            <w:tcBorders>
              <w:top w:val="nil"/>
              <w:left w:val="single" w:sz="4" w:space="0" w:color="auto"/>
              <w:bottom w:val="single" w:sz="4" w:space="0" w:color="000000"/>
              <w:right w:val="single" w:sz="4" w:space="0" w:color="auto"/>
            </w:tcBorders>
            <w:shd w:val="clear" w:color="auto" w:fill="auto"/>
            <w:noWrap/>
            <w:hideMark/>
          </w:tcPr>
          <w:p w14:paraId="20FD2898"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vMerge w:val="restart"/>
            <w:tcBorders>
              <w:top w:val="nil"/>
              <w:left w:val="single" w:sz="4" w:space="0" w:color="auto"/>
              <w:bottom w:val="single" w:sz="4" w:space="0" w:color="000000"/>
              <w:right w:val="single" w:sz="4" w:space="0" w:color="auto"/>
            </w:tcBorders>
            <w:shd w:val="clear" w:color="auto" w:fill="auto"/>
            <w:noWrap/>
            <w:hideMark/>
          </w:tcPr>
          <w:p w14:paraId="2B0B2144"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117</w:t>
            </w:r>
          </w:p>
        </w:tc>
        <w:tc>
          <w:tcPr>
            <w:tcW w:w="2407" w:type="dxa"/>
            <w:vMerge w:val="restart"/>
            <w:tcBorders>
              <w:top w:val="nil"/>
              <w:left w:val="single" w:sz="4" w:space="0" w:color="auto"/>
              <w:bottom w:val="single" w:sz="4" w:space="0" w:color="000000"/>
              <w:right w:val="single" w:sz="4" w:space="0" w:color="auto"/>
            </w:tcBorders>
            <w:shd w:val="clear" w:color="auto" w:fill="auto"/>
            <w:noWrap/>
            <w:hideMark/>
          </w:tcPr>
          <w:p w14:paraId="65080392"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120</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14:paraId="7F7DD805"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247</w:t>
            </w:r>
          </w:p>
        </w:tc>
        <w:tc>
          <w:tcPr>
            <w:tcW w:w="4641" w:type="dxa"/>
            <w:tcBorders>
              <w:top w:val="nil"/>
              <w:left w:val="nil"/>
              <w:bottom w:val="nil"/>
              <w:right w:val="single" w:sz="4" w:space="0" w:color="auto"/>
            </w:tcBorders>
            <w:shd w:val="clear" w:color="auto" w:fill="auto"/>
            <w:hideMark/>
          </w:tcPr>
          <w:p w14:paraId="19D52BCF"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At the end of March 2023, we had 247 households in Temporary Accommodation (TA). In 2023/24 we made a total of 490 placements in TA, this is compared to a total of 228 in 2022/23 and 181 in 2021/22 and shows the significant increase in demand we have seen over the last 12 months. The main causes of homelessness at the relief stage throughout 2023/24 were, end of PRS tenancies, evictions from family accommodation and domestic abuse, followed by evictions from Home Office accommodation. The last few quarters saw an increase in evictions from Home Office accommodation, which is impacting on TA and rough sleeping numbers. To ensure that we can meet the increase TA demand and reduce the use of costly nightly charge accommodation, we are;</w:t>
            </w:r>
          </w:p>
        </w:tc>
        <w:tc>
          <w:tcPr>
            <w:tcW w:w="875" w:type="dxa"/>
            <w:vMerge w:val="restart"/>
            <w:tcBorders>
              <w:top w:val="nil"/>
              <w:left w:val="single" w:sz="4" w:space="0" w:color="auto"/>
              <w:bottom w:val="single" w:sz="4" w:space="0" w:color="000000"/>
              <w:right w:val="single" w:sz="4" w:space="0" w:color="auto"/>
            </w:tcBorders>
            <w:shd w:val="clear" w:color="000000" w:fill="FF0000"/>
            <w:noWrap/>
            <w:hideMark/>
          </w:tcPr>
          <w:p w14:paraId="21FE5E92"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Red</w:t>
            </w:r>
          </w:p>
        </w:tc>
      </w:tr>
      <w:tr w:rsidR="007B0A72" w:rsidRPr="007B0A72" w14:paraId="0B5A745D"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39A32AA6" w14:textId="77777777" w:rsidR="007B0A72" w:rsidRPr="007B0A72" w:rsidRDefault="007B0A72" w:rsidP="007B0A72">
            <w:pPr>
              <w:rPr>
                <w:rFonts w:eastAsia="Times New Roman"/>
                <w:color w:val="444444"/>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43A7ECA2"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1C2DE3E3"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278C378F"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493C365A"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25FDE686"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188175A1"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Continuing procure further Private Sector Leasing units</w:t>
            </w:r>
          </w:p>
        </w:tc>
        <w:tc>
          <w:tcPr>
            <w:tcW w:w="875" w:type="dxa"/>
            <w:vMerge/>
            <w:tcBorders>
              <w:top w:val="nil"/>
              <w:left w:val="single" w:sz="4" w:space="0" w:color="auto"/>
              <w:bottom w:val="single" w:sz="4" w:space="0" w:color="000000"/>
              <w:right w:val="single" w:sz="4" w:space="0" w:color="auto"/>
            </w:tcBorders>
            <w:vAlign w:val="center"/>
            <w:hideMark/>
          </w:tcPr>
          <w:p w14:paraId="398A57E3" w14:textId="77777777" w:rsidR="007B0A72" w:rsidRPr="007B0A72" w:rsidRDefault="007B0A72" w:rsidP="007B0A72">
            <w:pPr>
              <w:rPr>
                <w:rFonts w:eastAsia="Times New Roman"/>
                <w:color w:val="FFFFFF"/>
                <w:sz w:val="18"/>
                <w:szCs w:val="18"/>
                <w:lang w:eastAsia="en-GB"/>
              </w:rPr>
            </w:pPr>
          </w:p>
        </w:tc>
      </w:tr>
      <w:tr w:rsidR="007B0A72" w:rsidRPr="007B0A72" w14:paraId="41812876"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282EBF8C" w14:textId="77777777" w:rsidR="007B0A72" w:rsidRPr="007B0A72" w:rsidRDefault="007B0A72" w:rsidP="007B0A72">
            <w:pPr>
              <w:rPr>
                <w:rFonts w:eastAsia="Times New Roman"/>
                <w:color w:val="444444"/>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24771456"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0753DCBF"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37483306"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67DA4A63"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3C64B6AB"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7EC09DE0"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Increasing our staffing levels to extend our homeless prevention efforts</w:t>
            </w:r>
          </w:p>
        </w:tc>
        <w:tc>
          <w:tcPr>
            <w:tcW w:w="875" w:type="dxa"/>
            <w:vMerge/>
            <w:tcBorders>
              <w:top w:val="nil"/>
              <w:left w:val="single" w:sz="4" w:space="0" w:color="auto"/>
              <w:bottom w:val="single" w:sz="4" w:space="0" w:color="000000"/>
              <w:right w:val="single" w:sz="4" w:space="0" w:color="auto"/>
            </w:tcBorders>
            <w:vAlign w:val="center"/>
            <w:hideMark/>
          </w:tcPr>
          <w:p w14:paraId="3E759FD3" w14:textId="77777777" w:rsidR="007B0A72" w:rsidRPr="007B0A72" w:rsidRDefault="007B0A72" w:rsidP="007B0A72">
            <w:pPr>
              <w:rPr>
                <w:rFonts w:eastAsia="Times New Roman"/>
                <w:color w:val="FFFFFF"/>
                <w:sz w:val="18"/>
                <w:szCs w:val="18"/>
                <w:lang w:eastAsia="en-GB"/>
              </w:rPr>
            </w:pPr>
          </w:p>
        </w:tc>
      </w:tr>
      <w:tr w:rsidR="007B0A72" w:rsidRPr="007B0A72" w14:paraId="0FD2C8BF"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12FA034C" w14:textId="77777777" w:rsidR="007B0A72" w:rsidRPr="007B0A72" w:rsidRDefault="007B0A72" w:rsidP="007B0A72">
            <w:pPr>
              <w:rPr>
                <w:rFonts w:eastAsia="Times New Roman"/>
                <w:color w:val="444444"/>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1C5D3894"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3F50418F"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04EFE2D8"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01DE2E6C"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43A79051"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0E585E47"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Expanding the size of our temporary accommodation stock by utilising Council-owned homes differently</w:t>
            </w:r>
          </w:p>
        </w:tc>
        <w:tc>
          <w:tcPr>
            <w:tcW w:w="875" w:type="dxa"/>
            <w:vMerge/>
            <w:tcBorders>
              <w:top w:val="nil"/>
              <w:left w:val="single" w:sz="4" w:space="0" w:color="auto"/>
              <w:bottom w:val="single" w:sz="4" w:space="0" w:color="000000"/>
              <w:right w:val="single" w:sz="4" w:space="0" w:color="auto"/>
            </w:tcBorders>
            <w:vAlign w:val="center"/>
            <w:hideMark/>
          </w:tcPr>
          <w:p w14:paraId="6F259505" w14:textId="77777777" w:rsidR="007B0A72" w:rsidRPr="007B0A72" w:rsidRDefault="007B0A72" w:rsidP="007B0A72">
            <w:pPr>
              <w:rPr>
                <w:rFonts w:eastAsia="Times New Roman"/>
                <w:color w:val="FFFFFF"/>
                <w:sz w:val="18"/>
                <w:szCs w:val="18"/>
                <w:lang w:eastAsia="en-GB"/>
              </w:rPr>
            </w:pPr>
          </w:p>
        </w:tc>
      </w:tr>
      <w:tr w:rsidR="007B0A72" w:rsidRPr="007B0A72" w14:paraId="3C65FB89"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246BF877" w14:textId="77777777" w:rsidR="007B0A72" w:rsidRPr="007B0A72" w:rsidRDefault="007B0A72" w:rsidP="007B0A72">
            <w:pPr>
              <w:rPr>
                <w:rFonts w:eastAsia="Times New Roman"/>
                <w:color w:val="444444"/>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5D27C618"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59E770E4"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1EE2C36E"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7C701C50"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73FB2298"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046B130A"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Increasing the supply of housing going to homeless families</w:t>
            </w:r>
          </w:p>
        </w:tc>
        <w:tc>
          <w:tcPr>
            <w:tcW w:w="875" w:type="dxa"/>
            <w:vMerge/>
            <w:tcBorders>
              <w:top w:val="nil"/>
              <w:left w:val="single" w:sz="4" w:space="0" w:color="auto"/>
              <w:bottom w:val="single" w:sz="4" w:space="0" w:color="000000"/>
              <w:right w:val="single" w:sz="4" w:space="0" w:color="auto"/>
            </w:tcBorders>
            <w:vAlign w:val="center"/>
            <w:hideMark/>
          </w:tcPr>
          <w:p w14:paraId="1AC616D0" w14:textId="77777777" w:rsidR="007B0A72" w:rsidRPr="007B0A72" w:rsidRDefault="007B0A72" w:rsidP="007B0A72">
            <w:pPr>
              <w:rPr>
                <w:rFonts w:eastAsia="Times New Roman"/>
                <w:color w:val="FFFFFF"/>
                <w:sz w:val="18"/>
                <w:szCs w:val="18"/>
                <w:lang w:eastAsia="en-GB"/>
              </w:rPr>
            </w:pPr>
          </w:p>
        </w:tc>
      </w:tr>
      <w:tr w:rsidR="007B0A72" w:rsidRPr="007B0A72" w14:paraId="1447CA93"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2F6F85AC" w14:textId="77777777" w:rsidR="007B0A72" w:rsidRPr="007B0A72" w:rsidRDefault="007B0A72" w:rsidP="007B0A72">
            <w:pPr>
              <w:rPr>
                <w:rFonts w:eastAsia="Times New Roman"/>
                <w:color w:val="444444"/>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6467D539"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7E6BDF51"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0B63310C"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775D4E55"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5192FCD4"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single" w:sz="4" w:space="0" w:color="auto"/>
              <w:right w:val="single" w:sz="4" w:space="0" w:color="auto"/>
            </w:tcBorders>
            <w:shd w:val="clear" w:color="auto" w:fill="auto"/>
            <w:hideMark/>
          </w:tcPr>
          <w:p w14:paraId="3CFA4773" w14:textId="77777777"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  Continuing to explore long term capital investment programmes to increase overall TA stock.  </w:t>
            </w:r>
          </w:p>
          <w:p w14:paraId="4DED1BD1" w14:textId="77777777" w:rsidR="001F32A1" w:rsidRDefault="001F32A1" w:rsidP="007B0A72">
            <w:pPr>
              <w:rPr>
                <w:rFonts w:eastAsia="Times New Roman"/>
                <w:color w:val="000000"/>
                <w:sz w:val="18"/>
                <w:szCs w:val="18"/>
                <w:lang w:eastAsia="en-GB"/>
              </w:rPr>
            </w:pPr>
          </w:p>
          <w:p w14:paraId="0EFA24DD" w14:textId="1EA86368" w:rsidR="00564C79" w:rsidRPr="007B0A72" w:rsidRDefault="00564C79" w:rsidP="007B0A72">
            <w:pPr>
              <w:rPr>
                <w:rFonts w:eastAsia="Times New Roman"/>
                <w:color w:val="000000"/>
                <w:sz w:val="18"/>
                <w:szCs w:val="18"/>
                <w:lang w:eastAsia="en-GB"/>
              </w:rPr>
            </w:pPr>
          </w:p>
        </w:tc>
        <w:tc>
          <w:tcPr>
            <w:tcW w:w="875" w:type="dxa"/>
            <w:vMerge/>
            <w:tcBorders>
              <w:top w:val="nil"/>
              <w:left w:val="single" w:sz="4" w:space="0" w:color="auto"/>
              <w:bottom w:val="single" w:sz="4" w:space="0" w:color="000000"/>
              <w:right w:val="single" w:sz="4" w:space="0" w:color="auto"/>
            </w:tcBorders>
            <w:vAlign w:val="center"/>
            <w:hideMark/>
          </w:tcPr>
          <w:p w14:paraId="2D64EF94" w14:textId="77777777" w:rsidR="007B0A72" w:rsidRPr="007B0A72" w:rsidRDefault="007B0A72" w:rsidP="007B0A72">
            <w:pPr>
              <w:rPr>
                <w:rFonts w:eastAsia="Times New Roman"/>
                <w:color w:val="FFFFFF"/>
                <w:sz w:val="18"/>
                <w:szCs w:val="18"/>
                <w:lang w:eastAsia="en-GB"/>
              </w:rPr>
            </w:pPr>
          </w:p>
        </w:tc>
      </w:tr>
      <w:tr w:rsidR="007B0A72" w:rsidRPr="007B0A72" w14:paraId="212C2CA0" w14:textId="77777777" w:rsidTr="007B0A72">
        <w:trPr>
          <w:trHeight w:val="1870"/>
        </w:trPr>
        <w:tc>
          <w:tcPr>
            <w:tcW w:w="1061" w:type="dxa"/>
            <w:tcBorders>
              <w:top w:val="nil"/>
              <w:left w:val="single" w:sz="4" w:space="0" w:color="auto"/>
              <w:bottom w:val="single" w:sz="4" w:space="0" w:color="auto"/>
              <w:right w:val="single" w:sz="4" w:space="0" w:color="auto"/>
            </w:tcBorders>
            <w:shd w:val="clear" w:color="auto" w:fill="auto"/>
            <w:noWrap/>
            <w:hideMark/>
          </w:tcPr>
          <w:p w14:paraId="213319A9"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Service</w:t>
            </w:r>
          </w:p>
        </w:tc>
        <w:tc>
          <w:tcPr>
            <w:tcW w:w="2156" w:type="dxa"/>
            <w:tcBorders>
              <w:top w:val="nil"/>
              <w:left w:val="nil"/>
              <w:bottom w:val="single" w:sz="4" w:space="0" w:color="auto"/>
              <w:right w:val="single" w:sz="4" w:space="0" w:color="auto"/>
            </w:tcBorders>
            <w:shd w:val="clear" w:color="auto" w:fill="auto"/>
            <w:hideMark/>
          </w:tcPr>
          <w:p w14:paraId="406C1AF9"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Households in temporary accommodation 12+ months (12 months or more)</w:t>
            </w:r>
          </w:p>
        </w:tc>
        <w:tc>
          <w:tcPr>
            <w:tcW w:w="1261" w:type="dxa"/>
            <w:tcBorders>
              <w:top w:val="nil"/>
              <w:left w:val="nil"/>
              <w:bottom w:val="single" w:sz="4" w:space="0" w:color="auto"/>
              <w:right w:val="single" w:sz="4" w:space="0" w:color="auto"/>
            </w:tcBorders>
            <w:shd w:val="clear" w:color="auto" w:fill="auto"/>
            <w:noWrap/>
            <w:hideMark/>
          </w:tcPr>
          <w:p w14:paraId="0E538D3D"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tcBorders>
              <w:top w:val="nil"/>
              <w:left w:val="nil"/>
              <w:bottom w:val="single" w:sz="4" w:space="0" w:color="auto"/>
              <w:right w:val="single" w:sz="4" w:space="0" w:color="auto"/>
            </w:tcBorders>
            <w:shd w:val="clear" w:color="auto" w:fill="auto"/>
            <w:noWrap/>
            <w:hideMark/>
          </w:tcPr>
          <w:p w14:paraId="365E1B47"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24</w:t>
            </w:r>
          </w:p>
        </w:tc>
        <w:tc>
          <w:tcPr>
            <w:tcW w:w="2407" w:type="dxa"/>
            <w:tcBorders>
              <w:top w:val="nil"/>
              <w:left w:val="nil"/>
              <w:bottom w:val="single" w:sz="4" w:space="0" w:color="auto"/>
              <w:right w:val="single" w:sz="4" w:space="0" w:color="auto"/>
            </w:tcBorders>
            <w:shd w:val="clear" w:color="auto" w:fill="auto"/>
            <w:noWrap/>
            <w:hideMark/>
          </w:tcPr>
          <w:p w14:paraId="53493C86"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7</w:t>
            </w:r>
          </w:p>
        </w:tc>
        <w:tc>
          <w:tcPr>
            <w:tcW w:w="914" w:type="dxa"/>
            <w:tcBorders>
              <w:top w:val="nil"/>
              <w:left w:val="nil"/>
              <w:bottom w:val="single" w:sz="4" w:space="0" w:color="auto"/>
              <w:right w:val="single" w:sz="4" w:space="0" w:color="auto"/>
            </w:tcBorders>
            <w:shd w:val="clear" w:color="auto" w:fill="auto"/>
            <w:noWrap/>
            <w:hideMark/>
          </w:tcPr>
          <w:p w14:paraId="3BA3B054"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15</w:t>
            </w:r>
          </w:p>
        </w:tc>
        <w:tc>
          <w:tcPr>
            <w:tcW w:w="4641" w:type="dxa"/>
            <w:tcBorders>
              <w:top w:val="nil"/>
              <w:left w:val="nil"/>
              <w:bottom w:val="single" w:sz="4" w:space="0" w:color="auto"/>
              <w:right w:val="single" w:sz="4" w:space="0" w:color="auto"/>
            </w:tcBorders>
            <w:shd w:val="clear" w:color="auto" w:fill="auto"/>
            <w:hideMark/>
          </w:tcPr>
          <w:p w14:paraId="0D677034" w14:textId="77777777"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We have delivered significant progress this year in bringing down the length of stay in TA. While the target of 7 households in TA over 12 months was not reached, the numbers in TA long term has continued to decline, and long term stays in TA as a share of the whole stock is down significantly as overall TA number have risen. We continue to work in a co-ordinated and joined up way to move households from TA as quickly as possible, working with other agencies and sourcing accommodation for move on. The next year will be more difficult, as many of the increased placements this year approach the 12 month date, we are likely to struggle to keep up with the demand for move on in the next period, and numbers over 12 months are likely to rise, in particular for single adults who we struggle to source sufficient accommodation for. </w:t>
            </w:r>
          </w:p>
          <w:p w14:paraId="7E60BA56" w14:textId="77777777" w:rsidR="00251A7A" w:rsidRDefault="00251A7A" w:rsidP="007B0A72">
            <w:pPr>
              <w:rPr>
                <w:rFonts w:eastAsia="Times New Roman"/>
                <w:color w:val="000000"/>
                <w:sz w:val="18"/>
                <w:szCs w:val="18"/>
                <w:lang w:eastAsia="en-GB"/>
              </w:rPr>
            </w:pPr>
          </w:p>
          <w:p w14:paraId="11B06394" w14:textId="6893E93B" w:rsidR="00564C79" w:rsidRPr="007B0A72" w:rsidRDefault="00564C79" w:rsidP="007B0A72">
            <w:pPr>
              <w:rPr>
                <w:rFonts w:eastAsia="Times New Roman"/>
                <w:color w:val="000000"/>
                <w:sz w:val="18"/>
                <w:szCs w:val="18"/>
                <w:lang w:eastAsia="en-GB"/>
              </w:rPr>
            </w:pPr>
          </w:p>
        </w:tc>
        <w:tc>
          <w:tcPr>
            <w:tcW w:w="875" w:type="dxa"/>
            <w:tcBorders>
              <w:top w:val="nil"/>
              <w:left w:val="nil"/>
              <w:bottom w:val="single" w:sz="4" w:space="0" w:color="auto"/>
              <w:right w:val="single" w:sz="4" w:space="0" w:color="auto"/>
            </w:tcBorders>
            <w:shd w:val="clear" w:color="000000" w:fill="FF0000"/>
            <w:noWrap/>
            <w:hideMark/>
          </w:tcPr>
          <w:p w14:paraId="36E8EF2C"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Red</w:t>
            </w:r>
          </w:p>
        </w:tc>
      </w:tr>
      <w:tr w:rsidR="007B0A72" w:rsidRPr="007B0A72" w14:paraId="7CE94A16" w14:textId="77777777" w:rsidTr="007B0A72">
        <w:trPr>
          <w:trHeight w:val="1870"/>
        </w:trPr>
        <w:tc>
          <w:tcPr>
            <w:tcW w:w="1061" w:type="dxa"/>
            <w:tcBorders>
              <w:top w:val="nil"/>
              <w:left w:val="single" w:sz="4" w:space="0" w:color="auto"/>
              <w:bottom w:val="single" w:sz="4" w:space="0" w:color="auto"/>
              <w:right w:val="single" w:sz="4" w:space="0" w:color="auto"/>
            </w:tcBorders>
            <w:shd w:val="clear" w:color="auto" w:fill="auto"/>
            <w:noWrap/>
            <w:hideMark/>
          </w:tcPr>
          <w:p w14:paraId="36B8AE19"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lastRenderedPageBreak/>
              <w:t>Service</w:t>
            </w:r>
          </w:p>
        </w:tc>
        <w:tc>
          <w:tcPr>
            <w:tcW w:w="2156" w:type="dxa"/>
            <w:tcBorders>
              <w:top w:val="nil"/>
              <w:left w:val="nil"/>
              <w:bottom w:val="single" w:sz="4" w:space="0" w:color="auto"/>
              <w:right w:val="single" w:sz="4" w:space="0" w:color="auto"/>
            </w:tcBorders>
            <w:shd w:val="clear" w:color="auto" w:fill="auto"/>
            <w:hideMark/>
          </w:tcPr>
          <w:p w14:paraId="65FBC2DB"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Prevention Duty outcomes - number of cases where we have secured accommodation for  6+ months at end of Prevention Duty</w:t>
            </w:r>
          </w:p>
        </w:tc>
        <w:tc>
          <w:tcPr>
            <w:tcW w:w="1261" w:type="dxa"/>
            <w:tcBorders>
              <w:top w:val="nil"/>
              <w:left w:val="nil"/>
              <w:bottom w:val="single" w:sz="4" w:space="0" w:color="auto"/>
              <w:right w:val="single" w:sz="4" w:space="0" w:color="auto"/>
            </w:tcBorders>
            <w:shd w:val="clear" w:color="auto" w:fill="auto"/>
            <w:noWrap/>
            <w:hideMark/>
          </w:tcPr>
          <w:p w14:paraId="066F3A3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tcBorders>
              <w:top w:val="nil"/>
              <w:left w:val="nil"/>
              <w:bottom w:val="single" w:sz="4" w:space="0" w:color="auto"/>
              <w:right w:val="single" w:sz="4" w:space="0" w:color="auto"/>
            </w:tcBorders>
            <w:shd w:val="clear" w:color="auto" w:fill="auto"/>
            <w:noWrap/>
            <w:hideMark/>
          </w:tcPr>
          <w:p w14:paraId="7419A7C5"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63%</w:t>
            </w:r>
          </w:p>
        </w:tc>
        <w:tc>
          <w:tcPr>
            <w:tcW w:w="2407" w:type="dxa"/>
            <w:tcBorders>
              <w:top w:val="nil"/>
              <w:left w:val="nil"/>
              <w:bottom w:val="single" w:sz="4" w:space="0" w:color="auto"/>
              <w:right w:val="single" w:sz="4" w:space="0" w:color="auto"/>
            </w:tcBorders>
            <w:shd w:val="clear" w:color="auto" w:fill="auto"/>
            <w:noWrap/>
            <w:hideMark/>
          </w:tcPr>
          <w:p w14:paraId="17463591"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60%</w:t>
            </w:r>
          </w:p>
        </w:tc>
        <w:tc>
          <w:tcPr>
            <w:tcW w:w="914" w:type="dxa"/>
            <w:tcBorders>
              <w:top w:val="nil"/>
              <w:left w:val="nil"/>
              <w:bottom w:val="single" w:sz="4" w:space="0" w:color="auto"/>
              <w:right w:val="single" w:sz="4" w:space="0" w:color="auto"/>
            </w:tcBorders>
            <w:shd w:val="clear" w:color="auto" w:fill="auto"/>
            <w:noWrap/>
            <w:hideMark/>
          </w:tcPr>
          <w:p w14:paraId="7B81BF08"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54.40%</w:t>
            </w:r>
          </w:p>
        </w:tc>
        <w:tc>
          <w:tcPr>
            <w:tcW w:w="4641" w:type="dxa"/>
            <w:tcBorders>
              <w:top w:val="nil"/>
              <w:left w:val="nil"/>
              <w:bottom w:val="single" w:sz="4" w:space="0" w:color="auto"/>
              <w:right w:val="single" w:sz="4" w:space="0" w:color="auto"/>
            </w:tcBorders>
            <w:shd w:val="clear" w:color="auto" w:fill="auto"/>
            <w:hideMark/>
          </w:tcPr>
          <w:p w14:paraId="6E0E1600" w14:textId="77777777"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The rapid increase in approaches to homelessness services has stretched resources within the team. Officers have experienced increased caseloads, and there are fewer housing options open for clients as rents increase. Of the housing stock we do have access to we often have to prioritise those lets to households already homeless as demand has increased. Despite this we are still seeing good results at the prevention stage with 54% of closed prevention cases ending in alternative accommodation being secured. The raise in LHA rates to the 30th percentile should improve access to the Private Rented Sector. A number of new members of staff have been recruited to help better meet the demand and focus on the prevention of homelessness, this is allowing us to decrease officer caseloads and increase home visits which should help prevention outcomes in the months ahead. </w:t>
            </w:r>
          </w:p>
          <w:p w14:paraId="6D03DC98" w14:textId="77777777" w:rsidR="001F32A1" w:rsidRDefault="001F32A1" w:rsidP="007B0A72">
            <w:pPr>
              <w:rPr>
                <w:rFonts w:eastAsia="Times New Roman"/>
                <w:color w:val="000000"/>
                <w:sz w:val="18"/>
                <w:szCs w:val="18"/>
                <w:lang w:eastAsia="en-GB"/>
              </w:rPr>
            </w:pPr>
          </w:p>
          <w:p w14:paraId="3B8AA16C" w14:textId="5448205B" w:rsidR="00564C79" w:rsidRPr="007B0A72" w:rsidRDefault="00564C79" w:rsidP="007B0A72">
            <w:pPr>
              <w:rPr>
                <w:rFonts w:eastAsia="Times New Roman"/>
                <w:color w:val="000000"/>
                <w:sz w:val="18"/>
                <w:szCs w:val="18"/>
                <w:lang w:eastAsia="en-GB"/>
              </w:rPr>
            </w:pPr>
          </w:p>
        </w:tc>
        <w:tc>
          <w:tcPr>
            <w:tcW w:w="875" w:type="dxa"/>
            <w:tcBorders>
              <w:top w:val="nil"/>
              <w:left w:val="nil"/>
              <w:bottom w:val="single" w:sz="4" w:space="0" w:color="auto"/>
              <w:right w:val="single" w:sz="4" w:space="0" w:color="auto"/>
            </w:tcBorders>
            <w:shd w:val="clear" w:color="000000" w:fill="FF0000"/>
            <w:noWrap/>
            <w:hideMark/>
          </w:tcPr>
          <w:p w14:paraId="505F8E77"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Red</w:t>
            </w:r>
          </w:p>
        </w:tc>
      </w:tr>
      <w:tr w:rsidR="007B0A72" w:rsidRPr="007B0A72" w14:paraId="287C8FB9" w14:textId="77777777" w:rsidTr="007B0A72">
        <w:trPr>
          <w:trHeight w:val="2530"/>
        </w:trPr>
        <w:tc>
          <w:tcPr>
            <w:tcW w:w="1061" w:type="dxa"/>
            <w:tcBorders>
              <w:top w:val="nil"/>
              <w:left w:val="single" w:sz="4" w:space="0" w:color="000000"/>
              <w:bottom w:val="nil"/>
              <w:right w:val="nil"/>
            </w:tcBorders>
            <w:shd w:val="clear" w:color="auto" w:fill="auto"/>
            <w:noWrap/>
            <w:hideMark/>
          </w:tcPr>
          <w:p w14:paraId="1CCC2C8C"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Service</w:t>
            </w:r>
          </w:p>
        </w:tc>
        <w:tc>
          <w:tcPr>
            <w:tcW w:w="2156" w:type="dxa"/>
            <w:tcBorders>
              <w:top w:val="nil"/>
              <w:left w:val="single" w:sz="4" w:space="0" w:color="000000"/>
              <w:bottom w:val="nil"/>
              <w:right w:val="nil"/>
            </w:tcBorders>
            <w:shd w:val="clear" w:color="auto" w:fill="auto"/>
            <w:noWrap/>
            <w:hideMark/>
          </w:tcPr>
          <w:p w14:paraId="5FD5C8C1"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Prevention Duties accepted</w:t>
            </w:r>
          </w:p>
        </w:tc>
        <w:tc>
          <w:tcPr>
            <w:tcW w:w="1261" w:type="dxa"/>
            <w:tcBorders>
              <w:top w:val="nil"/>
              <w:left w:val="single" w:sz="4" w:space="0" w:color="000000"/>
              <w:bottom w:val="nil"/>
              <w:right w:val="nil"/>
            </w:tcBorders>
            <w:shd w:val="clear" w:color="auto" w:fill="auto"/>
            <w:noWrap/>
            <w:hideMark/>
          </w:tcPr>
          <w:p w14:paraId="27838269"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Quarterly</w:t>
            </w:r>
          </w:p>
        </w:tc>
        <w:tc>
          <w:tcPr>
            <w:tcW w:w="855" w:type="dxa"/>
            <w:tcBorders>
              <w:top w:val="nil"/>
              <w:left w:val="single" w:sz="4" w:space="0" w:color="000000"/>
              <w:bottom w:val="nil"/>
              <w:right w:val="nil"/>
            </w:tcBorders>
            <w:shd w:val="clear" w:color="000000" w:fill="FFFFFF"/>
            <w:noWrap/>
            <w:hideMark/>
          </w:tcPr>
          <w:p w14:paraId="7B2EB801" w14:textId="48E7D6E0" w:rsidR="007B0A72" w:rsidRPr="007B0A72" w:rsidRDefault="00BD1C4E" w:rsidP="007B0A72">
            <w:pPr>
              <w:rPr>
                <w:rFonts w:eastAsia="Times New Roman"/>
                <w:color w:val="000000"/>
                <w:sz w:val="18"/>
                <w:szCs w:val="18"/>
                <w:lang w:eastAsia="en-GB"/>
              </w:rPr>
            </w:pPr>
            <w:r>
              <w:rPr>
                <w:rFonts w:eastAsia="Times New Roman"/>
                <w:color w:val="000000"/>
                <w:sz w:val="18"/>
                <w:szCs w:val="18"/>
                <w:lang w:eastAsia="en-GB"/>
              </w:rPr>
              <w:t>206</w:t>
            </w:r>
          </w:p>
        </w:tc>
        <w:tc>
          <w:tcPr>
            <w:tcW w:w="2407" w:type="dxa"/>
            <w:tcBorders>
              <w:top w:val="nil"/>
              <w:left w:val="single" w:sz="4" w:space="0" w:color="000000"/>
              <w:bottom w:val="nil"/>
              <w:right w:val="nil"/>
            </w:tcBorders>
            <w:shd w:val="clear" w:color="000000" w:fill="FFFFFF"/>
            <w:noWrap/>
            <w:hideMark/>
          </w:tcPr>
          <w:p w14:paraId="4A55F19A" w14:textId="33E1EF30" w:rsidR="007B0A72" w:rsidRPr="007B0A72" w:rsidRDefault="00BD1C4E" w:rsidP="007B0A72">
            <w:pPr>
              <w:rPr>
                <w:rFonts w:eastAsia="Times New Roman"/>
                <w:color w:val="000000"/>
                <w:sz w:val="18"/>
                <w:szCs w:val="18"/>
                <w:lang w:eastAsia="en-GB"/>
              </w:rPr>
            </w:pPr>
            <w:r>
              <w:rPr>
                <w:rFonts w:eastAsia="Times New Roman"/>
                <w:color w:val="000000"/>
                <w:sz w:val="18"/>
                <w:szCs w:val="18"/>
                <w:lang w:eastAsia="en-GB"/>
              </w:rPr>
              <w:t>230</w:t>
            </w:r>
          </w:p>
        </w:tc>
        <w:tc>
          <w:tcPr>
            <w:tcW w:w="914" w:type="dxa"/>
            <w:tcBorders>
              <w:top w:val="nil"/>
              <w:left w:val="single" w:sz="4" w:space="0" w:color="000000"/>
              <w:bottom w:val="nil"/>
              <w:right w:val="nil"/>
            </w:tcBorders>
            <w:shd w:val="clear" w:color="000000" w:fill="FFFFFF"/>
            <w:noWrap/>
            <w:hideMark/>
          </w:tcPr>
          <w:p w14:paraId="5E2288DF" w14:textId="77777777" w:rsidR="007B0A72" w:rsidRPr="007B0A72" w:rsidRDefault="007B0A72" w:rsidP="007B0A72">
            <w:pPr>
              <w:rPr>
                <w:rFonts w:eastAsia="Times New Roman"/>
                <w:b/>
                <w:bCs/>
                <w:color w:val="000000"/>
                <w:sz w:val="18"/>
                <w:szCs w:val="18"/>
                <w:lang w:eastAsia="en-GB"/>
              </w:rPr>
            </w:pPr>
            <w:r w:rsidRPr="007B0A72">
              <w:rPr>
                <w:rFonts w:eastAsia="Times New Roman"/>
                <w:b/>
                <w:bCs/>
                <w:color w:val="000000"/>
                <w:sz w:val="18"/>
                <w:szCs w:val="18"/>
                <w:lang w:eastAsia="en-GB"/>
              </w:rPr>
              <w:t>310</w:t>
            </w:r>
          </w:p>
        </w:tc>
        <w:tc>
          <w:tcPr>
            <w:tcW w:w="4641" w:type="dxa"/>
            <w:tcBorders>
              <w:top w:val="nil"/>
              <w:left w:val="single" w:sz="4" w:space="0" w:color="000000"/>
              <w:bottom w:val="nil"/>
              <w:right w:val="single" w:sz="4" w:space="0" w:color="000000"/>
            </w:tcBorders>
            <w:shd w:val="clear" w:color="auto" w:fill="auto"/>
            <w:hideMark/>
          </w:tcPr>
          <w:p w14:paraId="168AFDAC" w14:textId="77777777"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Over the last 12 months we have actively worked to increase the number of prevention duties accepted following  DLUHC guidance and changes to funding allocation linked to the number of duties accepted.  The increase is also reflective of the increase in demand on homelessness service we and other LA's are experiencing. We will be looking to recruit additional resource to Housing Needs teams to ensure we can manage this increase in demand whilst increasing our prevention activity.  Evictions from the private rented sector continue to be our largest cause of homelessness at the prevention stage.</w:t>
            </w:r>
          </w:p>
          <w:p w14:paraId="2B563C43" w14:textId="77777777" w:rsidR="00D17FFB" w:rsidRDefault="00D17FFB" w:rsidP="007B0A72">
            <w:pPr>
              <w:rPr>
                <w:rFonts w:eastAsia="Times New Roman"/>
                <w:color w:val="000000"/>
                <w:sz w:val="18"/>
                <w:szCs w:val="18"/>
                <w:lang w:eastAsia="en-GB"/>
              </w:rPr>
            </w:pPr>
          </w:p>
          <w:p w14:paraId="495DF300" w14:textId="77777777" w:rsidR="00D17FFB" w:rsidRDefault="00D17FFB" w:rsidP="007B0A72">
            <w:pPr>
              <w:rPr>
                <w:rFonts w:eastAsia="Times New Roman"/>
                <w:color w:val="000000"/>
                <w:sz w:val="18"/>
                <w:szCs w:val="18"/>
                <w:lang w:eastAsia="en-GB"/>
              </w:rPr>
            </w:pPr>
          </w:p>
          <w:p w14:paraId="1B80868C" w14:textId="77777777" w:rsidR="00D17FFB" w:rsidRDefault="00D17FFB" w:rsidP="007B0A72">
            <w:pPr>
              <w:rPr>
                <w:rFonts w:eastAsia="Times New Roman"/>
                <w:color w:val="000000"/>
                <w:sz w:val="18"/>
                <w:szCs w:val="18"/>
                <w:lang w:eastAsia="en-GB"/>
              </w:rPr>
            </w:pPr>
          </w:p>
          <w:p w14:paraId="4FF6C8B5" w14:textId="77777777" w:rsidR="00D17FFB" w:rsidRDefault="00D17FFB" w:rsidP="007B0A72">
            <w:pPr>
              <w:rPr>
                <w:rFonts w:eastAsia="Times New Roman"/>
                <w:color w:val="000000"/>
                <w:sz w:val="18"/>
                <w:szCs w:val="18"/>
                <w:lang w:eastAsia="en-GB"/>
              </w:rPr>
            </w:pPr>
          </w:p>
          <w:p w14:paraId="362CF462" w14:textId="77777777" w:rsidR="001F32A1" w:rsidRDefault="001F32A1" w:rsidP="007B0A72">
            <w:pPr>
              <w:rPr>
                <w:rFonts w:eastAsia="Times New Roman"/>
                <w:color w:val="000000"/>
                <w:sz w:val="18"/>
                <w:szCs w:val="18"/>
                <w:lang w:eastAsia="en-GB"/>
              </w:rPr>
            </w:pPr>
          </w:p>
          <w:p w14:paraId="1C5D1B1F" w14:textId="77777777" w:rsidR="00D17FFB" w:rsidRDefault="00D17FFB" w:rsidP="007B0A72">
            <w:pPr>
              <w:rPr>
                <w:rFonts w:eastAsia="Times New Roman"/>
                <w:color w:val="000000"/>
                <w:sz w:val="18"/>
                <w:szCs w:val="18"/>
                <w:lang w:eastAsia="en-GB"/>
              </w:rPr>
            </w:pPr>
          </w:p>
          <w:p w14:paraId="2EE1FD8B" w14:textId="77777777" w:rsidR="00D17FFB" w:rsidRDefault="00D17FFB" w:rsidP="007B0A72">
            <w:pPr>
              <w:rPr>
                <w:rFonts w:eastAsia="Times New Roman"/>
                <w:color w:val="000000"/>
                <w:sz w:val="18"/>
                <w:szCs w:val="18"/>
                <w:lang w:eastAsia="en-GB"/>
              </w:rPr>
            </w:pPr>
          </w:p>
          <w:p w14:paraId="5E43485B" w14:textId="77777777" w:rsidR="00D17FFB" w:rsidRDefault="00D17FFB" w:rsidP="007B0A72">
            <w:pPr>
              <w:rPr>
                <w:rFonts w:eastAsia="Times New Roman"/>
                <w:color w:val="000000"/>
                <w:sz w:val="18"/>
                <w:szCs w:val="18"/>
                <w:lang w:eastAsia="en-GB"/>
              </w:rPr>
            </w:pPr>
          </w:p>
          <w:p w14:paraId="4ADE29F5" w14:textId="77777777" w:rsidR="00D17FFB" w:rsidRDefault="00D17FFB" w:rsidP="007B0A72">
            <w:pPr>
              <w:rPr>
                <w:rFonts w:eastAsia="Times New Roman"/>
                <w:color w:val="000000"/>
                <w:sz w:val="18"/>
                <w:szCs w:val="18"/>
                <w:lang w:eastAsia="en-GB"/>
              </w:rPr>
            </w:pPr>
          </w:p>
          <w:p w14:paraId="3B27D24E" w14:textId="77777777" w:rsidR="00D17FFB" w:rsidRDefault="00D17FFB" w:rsidP="007B0A72">
            <w:pPr>
              <w:rPr>
                <w:rFonts w:eastAsia="Times New Roman"/>
                <w:color w:val="000000"/>
                <w:sz w:val="18"/>
                <w:szCs w:val="18"/>
                <w:lang w:eastAsia="en-GB"/>
              </w:rPr>
            </w:pPr>
          </w:p>
          <w:p w14:paraId="1D8576FF" w14:textId="77777777" w:rsidR="00D17FFB" w:rsidRDefault="00D17FFB" w:rsidP="007B0A72">
            <w:pPr>
              <w:rPr>
                <w:rFonts w:eastAsia="Times New Roman"/>
                <w:color w:val="000000"/>
                <w:sz w:val="18"/>
                <w:szCs w:val="18"/>
                <w:lang w:eastAsia="en-GB"/>
              </w:rPr>
            </w:pPr>
          </w:p>
          <w:p w14:paraId="6DE9AA60" w14:textId="2D6F0120" w:rsidR="00564C79" w:rsidRPr="007B0A72" w:rsidRDefault="00564C79" w:rsidP="007B0A72">
            <w:pPr>
              <w:rPr>
                <w:rFonts w:eastAsia="Times New Roman"/>
                <w:color w:val="000000"/>
                <w:sz w:val="18"/>
                <w:szCs w:val="18"/>
                <w:lang w:eastAsia="en-GB"/>
              </w:rPr>
            </w:pPr>
          </w:p>
        </w:tc>
        <w:tc>
          <w:tcPr>
            <w:tcW w:w="875" w:type="dxa"/>
            <w:tcBorders>
              <w:top w:val="nil"/>
              <w:left w:val="nil"/>
              <w:bottom w:val="single" w:sz="4" w:space="0" w:color="auto"/>
              <w:right w:val="single" w:sz="4" w:space="0" w:color="auto"/>
            </w:tcBorders>
            <w:shd w:val="clear" w:color="000000" w:fill="00B050"/>
            <w:noWrap/>
            <w:hideMark/>
          </w:tcPr>
          <w:p w14:paraId="383A1D23"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Green</w:t>
            </w:r>
          </w:p>
        </w:tc>
      </w:tr>
      <w:tr w:rsidR="007B0A72" w:rsidRPr="007B0A72" w14:paraId="5BD2FDF9" w14:textId="77777777" w:rsidTr="007B0A72">
        <w:trPr>
          <w:trHeight w:val="690"/>
        </w:trPr>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DA27509"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lastRenderedPageBreak/>
              <w:t xml:space="preserve">Corporate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70C963"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Total number of affordable homes completed in Oxford</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DEAC31E"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Annually</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24C1BF4"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397</w:t>
            </w:r>
          </w:p>
        </w:tc>
        <w:tc>
          <w:tcPr>
            <w:tcW w:w="24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CD95979"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NA - set for end of March 2026</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94A5E48"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123</w:t>
            </w:r>
          </w:p>
        </w:tc>
        <w:tc>
          <w:tcPr>
            <w:tcW w:w="4641" w:type="dxa"/>
            <w:tcBorders>
              <w:top w:val="single" w:sz="4" w:space="0" w:color="auto"/>
              <w:left w:val="nil"/>
              <w:bottom w:val="nil"/>
              <w:right w:val="single" w:sz="4" w:space="0" w:color="auto"/>
            </w:tcBorders>
            <w:shd w:val="clear" w:color="auto" w:fill="auto"/>
            <w:hideMark/>
          </w:tcPr>
          <w:p w14:paraId="650FDC93"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The Council has a corporate target of completing 1,600 affordable homes, across all tenures, for the next four financial years (23/24 - 26/27). As at the end of March 2024 the forecast programme is currently 1,641 homes to be delivered over this period. This has increased from Q3.</w:t>
            </w:r>
          </w:p>
        </w:tc>
        <w:tc>
          <w:tcPr>
            <w:tcW w:w="875" w:type="dxa"/>
            <w:vMerge w:val="restart"/>
            <w:tcBorders>
              <w:top w:val="nil"/>
              <w:left w:val="single" w:sz="4" w:space="0" w:color="auto"/>
              <w:bottom w:val="single" w:sz="4" w:space="0" w:color="000000"/>
              <w:right w:val="single" w:sz="4" w:space="0" w:color="auto"/>
            </w:tcBorders>
            <w:shd w:val="clear" w:color="000000" w:fill="00B050"/>
            <w:noWrap/>
            <w:hideMark/>
          </w:tcPr>
          <w:p w14:paraId="2C8DED3D"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Green</w:t>
            </w:r>
          </w:p>
        </w:tc>
      </w:tr>
      <w:tr w:rsidR="007B0A72" w:rsidRPr="007B0A72" w14:paraId="4E13C8E3" w14:textId="77777777" w:rsidTr="007B0A72">
        <w:trPr>
          <w:trHeight w:val="280"/>
        </w:trPr>
        <w:tc>
          <w:tcPr>
            <w:tcW w:w="1061" w:type="dxa"/>
            <w:vMerge/>
            <w:tcBorders>
              <w:top w:val="single" w:sz="4" w:space="0" w:color="auto"/>
              <w:left w:val="single" w:sz="4" w:space="0" w:color="auto"/>
              <w:bottom w:val="single" w:sz="4" w:space="0" w:color="000000"/>
              <w:right w:val="single" w:sz="4" w:space="0" w:color="auto"/>
            </w:tcBorders>
            <w:vAlign w:val="center"/>
            <w:hideMark/>
          </w:tcPr>
          <w:p w14:paraId="486617DE" w14:textId="77777777" w:rsidR="007B0A72" w:rsidRPr="007B0A72" w:rsidRDefault="007B0A72" w:rsidP="007B0A72">
            <w:pPr>
              <w:rPr>
                <w:rFonts w:eastAsia="Times New Roman"/>
                <w:color w:val="444444"/>
                <w:sz w:val="18"/>
                <w:szCs w:val="18"/>
                <w:lang w:eastAsia="en-GB"/>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14:paraId="0FAE7465" w14:textId="77777777" w:rsidR="007B0A72" w:rsidRPr="007B0A72" w:rsidRDefault="007B0A72" w:rsidP="007B0A72">
            <w:pPr>
              <w:rPr>
                <w:rFonts w:eastAsia="Times New Roman"/>
                <w:color w:val="444444"/>
                <w:sz w:val="18"/>
                <w:szCs w:val="18"/>
                <w:lang w:eastAsia="en-GB"/>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32B40AE1" w14:textId="77777777" w:rsidR="007B0A72" w:rsidRPr="007B0A72" w:rsidRDefault="007B0A72" w:rsidP="007B0A72">
            <w:pPr>
              <w:rPr>
                <w:rFonts w:eastAsia="Times New Roman"/>
                <w:color w:val="000000"/>
                <w:sz w:val="18"/>
                <w:szCs w:val="18"/>
                <w:lang w:eastAsia="en-GB"/>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14:paraId="40121874" w14:textId="77777777" w:rsidR="007B0A72" w:rsidRPr="007B0A72" w:rsidRDefault="007B0A72" w:rsidP="007B0A72">
            <w:pPr>
              <w:rPr>
                <w:rFonts w:eastAsia="Times New Roman"/>
                <w:color w:val="000000"/>
                <w:sz w:val="18"/>
                <w:szCs w:val="18"/>
                <w:lang w:eastAsia="en-GB"/>
              </w:rPr>
            </w:pPr>
          </w:p>
        </w:tc>
        <w:tc>
          <w:tcPr>
            <w:tcW w:w="2407" w:type="dxa"/>
            <w:vMerge/>
            <w:tcBorders>
              <w:top w:val="single" w:sz="4" w:space="0" w:color="auto"/>
              <w:left w:val="single" w:sz="4" w:space="0" w:color="auto"/>
              <w:bottom w:val="single" w:sz="4" w:space="0" w:color="000000"/>
              <w:right w:val="single" w:sz="4" w:space="0" w:color="auto"/>
            </w:tcBorders>
            <w:vAlign w:val="center"/>
            <w:hideMark/>
          </w:tcPr>
          <w:p w14:paraId="1140F542" w14:textId="77777777" w:rsidR="007B0A72" w:rsidRPr="007B0A72" w:rsidRDefault="007B0A72" w:rsidP="007B0A72">
            <w:pPr>
              <w:rPr>
                <w:rFonts w:eastAsia="Times New Roman"/>
                <w:color w:val="000000"/>
                <w:sz w:val="18"/>
                <w:szCs w:val="18"/>
                <w:lang w:eastAsia="en-GB"/>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14:paraId="040D93A9"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17E67418"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w:t>
            </w:r>
          </w:p>
        </w:tc>
        <w:tc>
          <w:tcPr>
            <w:tcW w:w="875" w:type="dxa"/>
            <w:vMerge/>
            <w:tcBorders>
              <w:top w:val="nil"/>
              <w:left w:val="single" w:sz="4" w:space="0" w:color="auto"/>
              <w:bottom w:val="single" w:sz="4" w:space="0" w:color="000000"/>
              <w:right w:val="single" w:sz="4" w:space="0" w:color="auto"/>
            </w:tcBorders>
            <w:vAlign w:val="center"/>
            <w:hideMark/>
          </w:tcPr>
          <w:p w14:paraId="7F006AF2" w14:textId="77777777" w:rsidR="007B0A72" w:rsidRPr="007B0A72" w:rsidRDefault="007B0A72" w:rsidP="007B0A72">
            <w:pPr>
              <w:rPr>
                <w:rFonts w:eastAsia="Times New Roman"/>
                <w:color w:val="FFFFFF"/>
                <w:sz w:val="18"/>
                <w:szCs w:val="18"/>
                <w:lang w:eastAsia="en-GB"/>
              </w:rPr>
            </w:pPr>
          </w:p>
        </w:tc>
      </w:tr>
      <w:tr w:rsidR="007B0A72" w:rsidRPr="007B0A72" w14:paraId="05487EDD" w14:textId="77777777" w:rsidTr="007B0A72">
        <w:trPr>
          <w:trHeight w:val="1150"/>
        </w:trPr>
        <w:tc>
          <w:tcPr>
            <w:tcW w:w="1061" w:type="dxa"/>
            <w:vMerge/>
            <w:tcBorders>
              <w:top w:val="single" w:sz="4" w:space="0" w:color="auto"/>
              <w:left w:val="single" w:sz="4" w:space="0" w:color="auto"/>
              <w:bottom w:val="single" w:sz="4" w:space="0" w:color="000000"/>
              <w:right w:val="single" w:sz="4" w:space="0" w:color="auto"/>
            </w:tcBorders>
            <w:vAlign w:val="center"/>
            <w:hideMark/>
          </w:tcPr>
          <w:p w14:paraId="680E99C8" w14:textId="77777777" w:rsidR="007B0A72" w:rsidRPr="007B0A72" w:rsidRDefault="007B0A72" w:rsidP="007B0A72">
            <w:pPr>
              <w:rPr>
                <w:rFonts w:eastAsia="Times New Roman"/>
                <w:color w:val="444444"/>
                <w:sz w:val="18"/>
                <w:szCs w:val="18"/>
                <w:lang w:eastAsia="en-GB"/>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14:paraId="132E8E63" w14:textId="77777777" w:rsidR="007B0A72" w:rsidRPr="007B0A72" w:rsidRDefault="007B0A72" w:rsidP="007B0A72">
            <w:pPr>
              <w:rPr>
                <w:rFonts w:eastAsia="Times New Roman"/>
                <w:color w:val="444444"/>
                <w:sz w:val="18"/>
                <w:szCs w:val="18"/>
                <w:lang w:eastAsia="en-GB"/>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7C1921AF" w14:textId="77777777" w:rsidR="007B0A72" w:rsidRPr="007B0A72" w:rsidRDefault="007B0A72" w:rsidP="007B0A72">
            <w:pPr>
              <w:rPr>
                <w:rFonts w:eastAsia="Times New Roman"/>
                <w:color w:val="000000"/>
                <w:sz w:val="18"/>
                <w:szCs w:val="18"/>
                <w:lang w:eastAsia="en-GB"/>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14:paraId="6B2E3FD7" w14:textId="77777777" w:rsidR="007B0A72" w:rsidRPr="007B0A72" w:rsidRDefault="007B0A72" w:rsidP="007B0A72">
            <w:pPr>
              <w:rPr>
                <w:rFonts w:eastAsia="Times New Roman"/>
                <w:color w:val="000000"/>
                <w:sz w:val="18"/>
                <w:szCs w:val="18"/>
                <w:lang w:eastAsia="en-GB"/>
              </w:rPr>
            </w:pPr>
          </w:p>
        </w:tc>
        <w:tc>
          <w:tcPr>
            <w:tcW w:w="2407" w:type="dxa"/>
            <w:vMerge/>
            <w:tcBorders>
              <w:top w:val="single" w:sz="4" w:space="0" w:color="auto"/>
              <w:left w:val="single" w:sz="4" w:space="0" w:color="auto"/>
              <w:bottom w:val="single" w:sz="4" w:space="0" w:color="000000"/>
              <w:right w:val="single" w:sz="4" w:space="0" w:color="auto"/>
            </w:tcBorders>
            <w:vAlign w:val="center"/>
            <w:hideMark/>
          </w:tcPr>
          <w:p w14:paraId="68541250" w14:textId="77777777" w:rsidR="007B0A72" w:rsidRPr="007B0A72" w:rsidRDefault="007B0A72" w:rsidP="007B0A72">
            <w:pPr>
              <w:rPr>
                <w:rFonts w:eastAsia="Times New Roman"/>
                <w:color w:val="000000"/>
                <w:sz w:val="18"/>
                <w:szCs w:val="18"/>
                <w:lang w:eastAsia="en-GB"/>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14:paraId="7C4F86F6"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single" w:sz="4" w:space="0" w:color="auto"/>
              <w:right w:val="single" w:sz="4" w:space="0" w:color="auto"/>
            </w:tcBorders>
            <w:shd w:val="clear" w:color="auto" w:fill="auto"/>
            <w:hideMark/>
          </w:tcPr>
          <w:p w14:paraId="4DD76AD1" w14:textId="77777777"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123 affordable homes have been delivered this financial year. This comprises 87 homes at social rent tenure; 9 homes at affordable rent and 27 shared ownership homes. Note: 13 of the social rented units are refurbished and will not be included as new delivery in LAHS figures.</w:t>
            </w:r>
          </w:p>
          <w:p w14:paraId="5773FD85" w14:textId="77777777" w:rsidR="001F32A1" w:rsidRDefault="001F32A1" w:rsidP="007B0A72">
            <w:pPr>
              <w:rPr>
                <w:rFonts w:eastAsia="Times New Roman"/>
                <w:color w:val="000000"/>
                <w:sz w:val="18"/>
                <w:szCs w:val="18"/>
                <w:lang w:eastAsia="en-GB"/>
              </w:rPr>
            </w:pPr>
          </w:p>
          <w:p w14:paraId="11F98DE5" w14:textId="2432D9BA" w:rsidR="00D17FFB" w:rsidRPr="007B0A72" w:rsidRDefault="00D17FFB" w:rsidP="007B0A72">
            <w:pPr>
              <w:rPr>
                <w:rFonts w:eastAsia="Times New Roman"/>
                <w:color w:val="000000"/>
                <w:sz w:val="18"/>
                <w:szCs w:val="18"/>
                <w:lang w:eastAsia="en-GB"/>
              </w:rPr>
            </w:pPr>
          </w:p>
        </w:tc>
        <w:tc>
          <w:tcPr>
            <w:tcW w:w="875" w:type="dxa"/>
            <w:vMerge/>
            <w:tcBorders>
              <w:top w:val="nil"/>
              <w:left w:val="single" w:sz="4" w:space="0" w:color="auto"/>
              <w:bottom w:val="single" w:sz="4" w:space="0" w:color="000000"/>
              <w:right w:val="single" w:sz="4" w:space="0" w:color="auto"/>
            </w:tcBorders>
            <w:vAlign w:val="center"/>
            <w:hideMark/>
          </w:tcPr>
          <w:p w14:paraId="2DC54DDA" w14:textId="77777777" w:rsidR="007B0A72" w:rsidRPr="007B0A72" w:rsidRDefault="007B0A72" w:rsidP="007B0A72">
            <w:pPr>
              <w:rPr>
                <w:rFonts w:eastAsia="Times New Roman"/>
                <w:color w:val="FFFFFF"/>
                <w:sz w:val="18"/>
                <w:szCs w:val="18"/>
                <w:lang w:eastAsia="en-GB"/>
              </w:rPr>
            </w:pPr>
          </w:p>
        </w:tc>
      </w:tr>
      <w:tr w:rsidR="007B0A72" w:rsidRPr="007B0A72" w14:paraId="50C81F83" w14:textId="77777777" w:rsidTr="007B0A72">
        <w:trPr>
          <w:trHeight w:val="4140"/>
        </w:trPr>
        <w:tc>
          <w:tcPr>
            <w:tcW w:w="1061" w:type="dxa"/>
            <w:tcBorders>
              <w:top w:val="nil"/>
              <w:left w:val="single" w:sz="4" w:space="0" w:color="auto"/>
              <w:bottom w:val="single" w:sz="4" w:space="0" w:color="auto"/>
              <w:right w:val="single" w:sz="4" w:space="0" w:color="auto"/>
            </w:tcBorders>
            <w:shd w:val="clear" w:color="auto" w:fill="auto"/>
            <w:noWrap/>
            <w:hideMark/>
          </w:tcPr>
          <w:p w14:paraId="49378F85"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Service</w:t>
            </w:r>
          </w:p>
        </w:tc>
        <w:tc>
          <w:tcPr>
            <w:tcW w:w="2156" w:type="dxa"/>
            <w:tcBorders>
              <w:top w:val="nil"/>
              <w:left w:val="nil"/>
              <w:bottom w:val="single" w:sz="4" w:space="0" w:color="auto"/>
              <w:right w:val="single" w:sz="4" w:space="0" w:color="auto"/>
            </w:tcBorders>
            <w:shd w:val="clear" w:color="auto" w:fill="auto"/>
            <w:hideMark/>
          </w:tcPr>
          <w:p w14:paraId="7389B3BC"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of Council owned housing stock that has an EPC rating below C (average of 95% of council homes have EPC rating of C or above by 2030)</w:t>
            </w:r>
          </w:p>
        </w:tc>
        <w:tc>
          <w:tcPr>
            <w:tcW w:w="1261" w:type="dxa"/>
            <w:tcBorders>
              <w:top w:val="nil"/>
              <w:left w:val="nil"/>
              <w:bottom w:val="single" w:sz="4" w:space="0" w:color="auto"/>
              <w:right w:val="single" w:sz="4" w:space="0" w:color="auto"/>
            </w:tcBorders>
            <w:shd w:val="clear" w:color="auto" w:fill="auto"/>
            <w:noWrap/>
            <w:hideMark/>
          </w:tcPr>
          <w:p w14:paraId="04C12C03"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Annually</w:t>
            </w:r>
          </w:p>
        </w:tc>
        <w:tc>
          <w:tcPr>
            <w:tcW w:w="855" w:type="dxa"/>
            <w:tcBorders>
              <w:top w:val="nil"/>
              <w:left w:val="nil"/>
              <w:bottom w:val="single" w:sz="4" w:space="0" w:color="auto"/>
              <w:right w:val="single" w:sz="4" w:space="0" w:color="auto"/>
            </w:tcBorders>
            <w:shd w:val="clear" w:color="auto" w:fill="auto"/>
            <w:noWrap/>
            <w:hideMark/>
          </w:tcPr>
          <w:p w14:paraId="01C2142F"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23.60%</w:t>
            </w:r>
          </w:p>
        </w:tc>
        <w:tc>
          <w:tcPr>
            <w:tcW w:w="2407" w:type="dxa"/>
            <w:tcBorders>
              <w:top w:val="nil"/>
              <w:left w:val="nil"/>
              <w:bottom w:val="single" w:sz="4" w:space="0" w:color="auto"/>
              <w:right w:val="single" w:sz="4" w:space="0" w:color="auto"/>
            </w:tcBorders>
            <w:shd w:val="clear" w:color="auto" w:fill="auto"/>
            <w:noWrap/>
            <w:hideMark/>
          </w:tcPr>
          <w:p w14:paraId="0D8CFF2E"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30%</w:t>
            </w:r>
          </w:p>
        </w:tc>
        <w:tc>
          <w:tcPr>
            <w:tcW w:w="914" w:type="dxa"/>
            <w:tcBorders>
              <w:top w:val="nil"/>
              <w:left w:val="nil"/>
              <w:bottom w:val="single" w:sz="4" w:space="0" w:color="auto"/>
              <w:right w:val="single" w:sz="4" w:space="0" w:color="auto"/>
            </w:tcBorders>
            <w:shd w:val="clear" w:color="auto" w:fill="auto"/>
            <w:noWrap/>
            <w:hideMark/>
          </w:tcPr>
          <w:p w14:paraId="752652B7"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25%</w:t>
            </w:r>
          </w:p>
        </w:tc>
        <w:tc>
          <w:tcPr>
            <w:tcW w:w="4641" w:type="dxa"/>
            <w:tcBorders>
              <w:top w:val="nil"/>
              <w:left w:val="nil"/>
              <w:bottom w:val="single" w:sz="4" w:space="0" w:color="auto"/>
              <w:right w:val="single" w:sz="4" w:space="0" w:color="auto"/>
            </w:tcBorders>
            <w:shd w:val="clear" w:color="auto" w:fill="auto"/>
            <w:hideMark/>
          </w:tcPr>
          <w:p w14:paraId="7E6E6B71" w14:textId="77777777" w:rsid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At the end of the financial year 25% of Council Owned Housing Stock has an EPC rating below C (or 75% with an EPC of C or higher), this percentage has been taken from stock with a lodged EPC. 13% of our homes do not currently have an EPC lodged so they have been excluded from this calculation, as our stock conditions survey programme continues, we will have a better understanding of stock condition across a larger proportion of our stock, including lodged ECPs for this 13%. As stock condition surveys have been completed throughout the year, our results for this target show a slight reduction from our EOY results from 22/23, this is due to having an improved oversight of EPC ratings across a larger proportion of stock. We have achieved our target this year having less than 30% of homes with an EPC rating below C. The energy efficiency of 316 properties (4% of overall stock) will be improved as part of the Social Housing Decarbonisation Fund in 24/25. </w:t>
            </w:r>
          </w:p>
          <w:p w14:paraId="01C02C5E" w14:textId="77777777" w:rsidR="008F39F5" w:rsidRDefault="008F39F5" w:rsidP="007B0A72">
            <w:pPr>
              <w:rPr>
                <w:rFonts w:eastAsia="Times New Roman"/>
                <w:color w:val="000000"/>
                <w:sz w:val="18"/>
                <w:szCs w:val="18"/>
                <w:lang w:eastAsia="en-GB"/>
              </w:rPr>
            </w:pPr>
          </w:p>
          <w:p w14:paraId="0048717F" w14:textId="77777777" w:rsidR="008F39F5" w:rsidRDefault="008F39F5" w:rsidP="007B0A72">
            <w:pPr>
              <w:rPr>
                <w:rFonts w:eastAsia="Times New Roman"/>
                <w:color w:val="000000"/>
                <w:sz w:val="18"/>
                <w:szCs w:val="18"/>
                <w:lang w:eastAsia="en-GB"/>
              </w:rPr>
            </w:pPr>
          </w:p>
          <w:p w14:paraId="2D706F95" w14:textId="77777777" w:rsidR="008F39F5" w:rsidRDefault="008F39F5" w:rsidP="007B0A72">
            <w:pPr>
              <w:rPr>
                <w:rFonts w:eastAsia="Times New Roman"/>
                <w:color w:val="000000"/>
                <w:sz w:val="18"/>
                <w:szCs w:val="18"/>
                <w:lang w:eastAsia="en-GB"/>
              </w:rPr>
            </w:pPr>
          </w:p>
          <w:p w14:paraId="2E438E64" w14:textId="77777777" w:rsidR="008F39F5" w:rsidRDefault="008F39F5" w:rsidP="007B0A72">
            <w:pPr>
              <w:rPr>
                <w:rFonts w:eastAsia="Times New Roman"/>
                <w:color w:val="000000"/>
                <w:sz w:val="18"/>
                <w:szCs w:val="18"/>
                <w:lang w:eastAsia="en-GB"/>
              </w:rPr>
            </w:pPr>
          </w:p>
          <w:p w14:paraId="37B5633F" w14:textId="77777777" w:rsidR="008F39F5" w:rsidRDefault="008F39F5" w:rsidP="007B0A72">
            <w:pPr>
              <w:rPr>
                <w:rFonts w:eastAsia="Times New Roman"/>
                <w:color w:val="000000"/>
                <w:sz w:val="18"/>
                <w:szCs w:val="18"/>
                <w:lang w:eastAsia="en-GB"/>
              </w:rPr>
            </w:pPr>
          </w:p>
          <w:p w14:paraId="44E4D812" w14:textId="77777777" w:rsidR="008F39F5" w:rsidRDefault="008F39F5" w:rsidP="007B0A72">
            <w:pPr>
              <w:rPr>
                <w:rFonts w:eastAsia="Times New Roman"/>
                <w:color w:val="000000"/>
                <w:sz w:val="18"/>
                <w:szCs w:val="18"/>
                <w:lang w:eastAsia="en-GB"/>
              </w:rPr>
            </w:pPr>
          </w:p>
          <w:p w14:paraId="728F04D2" w14:textId="77777777" w:rsidR="008F39F5" w:rsidRDefault="008F39F5" w:rsidP="007B0A72">
            <w:pPr>
              <w:rPr>
                <w:rFonts w:eastAsia="Times New Roman"/>
                <w:color w:val="000000"/>
                <w:sz w:val="18"/>
                <w:szCs w:val="18"/>
                <w:lang w:eastAsia="en-GB"/>
              </w:rPr>
            </w:pPr>
          </w:p>
          <w:p w14:paraId="5A402081" w14:textId="1A420A3A" w:rsidR="008F39F5" w:rsidRPr="007B0A72" w:rsidRDefault="008F39F5" w:rsidP="007B0A72">
            <w:pPr>
              <w:rPr>
                <w:rFonts w:eastAsia="Times New Roman"/>
                <w:color w:val="000000"/>
                <w:sz w:val="18"/>
                <w:szCs w:val="18"/>
                <w:lang w:eastAsia="en-GB"/>
              </w:rPr>
            </w:pPr>
          </w:p>
        </w:tc>
        <w:tc>
          <w:tcPr>
            <w:tcW w:w="875" w:type="dxa"/>
            <w:tcBorders>
              <w:top w:val="nil"/>
              <w:left w:val="nil"/>
              <w:bottom w:val="single" w:sz="4" w:space="0" w:color="auto"/>
              <w:right w:val="single" w:sz="4" w:space="0" w:color="auto"/>
            </w:tcBorders>
            <w:shd w:val="clear" w:color="000000" w:fill="00B050"/>
            <w:noWrap/>
            <w:hideMark/>
          </w:tcPr>
          <w:p w14:paraId="692BCF99"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Green</w:t>
            </w:r>
          </w:p>
        </w:tc>
      </w:tr>
      <w:tr w:rsidR="007B0A72" w:rsidRPr="007B0A72" w14:paraId="62A619AD" w14:textId="77777777" w:rsidTr="007B0A72">
        <w:trPr>
          <w:trHeight w:val="920"/>
        </w:trPr>
        <w:tc>
          <w:tcPr>
            <w:tcW w:w="1061" w:type="dxa"/>
            <w:vMerge w:val="restart"/>
            <w:tcBorders>
              <w:top w:val="nil"/>
              <w:left w:val="single" w:sz="4" w:space="0" w:color="auto"/>
              <w:bottom w:val="single" w:sz="4" w:space="0" w:color="000000"/>
              <w:right w:val="single" w:sz="4" w:space="0" w:color="auto"/>
            </w:tcBorders>
            <w:shd w:val="clear" w:color="auto" w:fill="auto"/>
            <w:noWrap/>
            <w:hideMark/>
          </w:tcPr>
          <w:p w14:paraId="286DB2E4"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lastRenderedPageBreak/>
              <w:t>Service</w:t>
            </w:r>
          </w:p>
        </w:tc>
        <w:tc>
          <w:tcPr>
            <w:tcW w:w="2156" w:type="dxa"/>
            <w:vMerge w:val="restart"/>
            <w:tcBorders>
              <w:top w:val="nil"/>
              <w:left w:val="single" w:sz="4" w:space="0" w:color="auto"/>
              <w:bottom w:val="single" w:sz="4" w:space="0" w:color="000000"/>
              <w:right w:val="single" w:sz="4" w:space="0" w:color="auto"/>
            </w:tcBorders>
            <w:shd w:val="clear" w:color="auto" w:fill="auto"/>
            <w:hideMark/>
          </w:tcPr>
          <w:p w14:paraId="1374A78D"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 xml:space="preserve">Total standard re-let time (in days) </w:t>
            </w:r>
          </w:p>
        </w:tc>
        <w:tc>
          <w:tcPr>
            <w:tcW w:w="1261" w:type="dxa"/>
            <w:vMerge w:val="restart"/>
            <w:tcBorders>
              <w:top w:val="nil"/>
              <w:left w:val="single" w:sz="4" w:space="0" w:color="auto"/>
              <w:bottom w:val="single" w:sz="4" w:space="0" w:color="000000"/>
              <w:right w:val="single" w:sz="4" w:space="0" w:color="auto"/>
            </w:tcBorders>
            <w:shd w:val="clear" w:color="auto" w:fill="auto"/>
            <w:noWrap/>
            <w:hideMark/>
          </w:tcPr>
          <w:p w14:paraId="7D4C9413"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vMerge w:val="restart"/>
            <w:tcBorders>
              <w:top w:val="nil"/>
              <w:left w:val="single" w:sz="4" w:space="0" w:color="auto"/>
              <w:bottom w:val="single" w:sz="4" w:space="0" w:color="000000"/>
              <w:right w:val="single" w:sz="4" w:space="0" w:color="auto"/>
            </w:tcBorders>
            <w:shd w:val="clear" w:color="auto" w:fill="auto"/>
            <w:noWrap/>
            <w:hideMark/>
          </w:tcPr>
          <w:p w14:paraId="7DD9A485"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89.61</w:t>
            </w:r>
          </w:p>
        </w:tc>
        <w:tc>
          <w:tcPr>
            <w:tcW w:w="2407" w:type="dxa"/>
            <w:vMerge w:val="restart"/>
            <w:tcBorders>
              <w:top w:val="nil"/>
              <w:left w:val="single" w:sz="4" w:space="0" w:color="auto"/>
              <w:bottom w:val="single" w:sz="4" w:space="0" w:color="000000"/>
              <w:right w:val="single" w:sz="4" w:space="0" w:color="auto"/>
            </w:tcBorders>
            <w:shd w:val="clear" w:color="auto" w:fill="auto"/>
            <w:noWrap/>
            <w:hideMark/>
          </w:tcPr>
          <w:p w14:paraId="218979D4"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25</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14:paraId="32138911" w14:textId="77777777" w:rsidR="007B0A72" w:rsidRPr="007B0A72" w:rsidRDefault="007B0A72" w:rsidP="007B0A72">
            <w:pPr>
              <w:rPr>
                <w:rFonts w:eastAsia="Times New Roman"/>
                <w:b/>
                <w:bCs/>
                <w:sz w:val="18"/>
                <w:szCs w:val="18"/>
                <w:lang w:eastAsia="en-GB"/>
              </w:rPr>
            </w:pPr>
            <w:r w:rsidRPr="007B0A72">
              <w:rPr>
                <w:rFonts w:eastAsia="Times New Roman"/>
                <w:b/>
                <w:bCs/>
                <w:sz w:val="18"/>
                <w:szCs w:val="18"/>
                <w:lang w:eastAsia="en-GB"/>
              </w:rPr>
              <w:t>84.34</w:t>
            </w:r>
          </w:p>
        </w:tc>
        <w:tc>
          <w:tcPr>
            <w:tcW w:w="4641" w:type="dxa"/>
            <w:tcBorders>
              <w:top w:val="nil"/>
              <w:left w:val="nil"/>
              <w:bottom w:val="nil"/>
              <w:right w:val="single" w:sz="4" w:space="0" w:color="auto"/>
            </w:tcBorders>
            <w:shd w:val="clear" w:color="auto" w:fill="auto"/>
            <w:hideMark/>
          </w:tcPr>
          <w:p w14:paraId="327E1CD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Performance continues to be below target. Current legionella and asbestos controls are adding up to six weeks to the overall timescale from when they keys are returned to a new tenant being signed up. Work on the end to end process has identified a number of key elements where improvements to processes have been implemented or are planned, including:</w:t>
            </w:r>
          </w:p>
        </w:tc>
        <w:tc>
          <w:tcPr>
            <w:tcW w:w="875" w:type="dxa"/>
            <w:vMerge w:val="restart"/>
            <w:tcBorders>
              <w:top w:val="nil"/>
              <w:left w:val="single" w:sz="4" w:space="0" w:color="auto"/>
              <w:bottom w:val="single" w:sz="4" w:space="0" w:color="000000"/>
              <w:right w:val="single" w:sz="4" w:space="0" w:color="auto"/>
            </w:tcBorders>
            <w:shd w:val="clear" w:color="000000" w:fill="FF0000"/>
            <w:noWrap/>
            <w:hideMark/>
          </w:tcPr>
          <w:p w14:paraId="2B25C292"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Red</w:t>
            </w:r>
          </w:p>
        </w:tc>
      </w:tr>
      <w:tr w:rsidR="007B0A72" w:rsidRPr="007B0A72" w14:paraId="7FD210DE"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1933FC5C"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7A650838"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10F95265"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47DA9E85"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29002624"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05C3F40B"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49760FF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w:t>
            </w:r>
          </w:p>
        </w:tc>
        <w:tc>
          <w:tcPr>
            <w:tcW w:w="875" w:type="dxa"/>
            <w:vMerge/>
            <w:tcBorders>
              <w:top w:val="nil"/>
              <w:left w:val="single" w:sz="4" w:space="0" w:color="auto"/>
              <w:bottom w:val="single" w:sz="4" w:space="0" w:color="000000"/>
              <w:right w:val="single" w:sz="4" w:space="0" w:color="auto"/>
            </w:tcBorders>
            <w:vAlign w:val="center"/>
            <w:hideMark/>
          </w:tcPr>
          <w:p w14:paraId="514FDCAF" w14:textId="77777777" w:rsidR="007B0A72" w:rsidRPr="007B0A72" w:rsidRDefault="007B0A72" w:rsidP="007B0A72">
            <w:pPr>
              <w:rPr>
                <w:rFonts w:eastAsia="Times New Roman"/>
                <w:color w:val="FFFFFF"/>
                <w:sz w:val="18"/>
                <w:szCs w:val="18"/>
                <w:lang w:eastAsia="en-GB"/>
              </w:rPr>
            </w:pPr>
          </w:p>
        </w:tc>
      </w:tr>
      <w:tr w:rsidR="007B0A72" w:rsidRPr="007B0A72" w14:paraId="4091EC58" w14:textId="77777777" w:rsidTr="007B0A72">
        <w:trPr>
          <w:trHeight w:val="460"/>
        </w:trPr>
        <w:tc>
          <w:tcPr>
            <w:tcW w:w="1061" w:type="dxa"/>
            <w:vMerge/>
            <w:tcBorders>
              <w:top w:val="nil"/>
              <w:left w:val="single" w:sz="4" w:space="0" w:color="auto"/>
              <w:bottom w:val="single" w:sz="4" w:space="0" w:color="000000"/>
              <w:right w:val="single" w:sz="4" w:space="0" w:color="auto"/>
            </w:tcBorders>
            <w:vAlign w:val="center"/>
            <w:hideMark/>
          </w:tcPr>
          <w:p w14:paraId="38DE190C"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3B73B9B3"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61A7E7C9"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0173E91C"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56C2778A"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7D70D4F4"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6CA6888D"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A new control procedure being developed for Legionella testing, which is expected to remove delay to work starting altogether, apart from plumbing work</w:t>
            </w:r>
          </w:p>
        </w:tc>
        <w:tc>
          <w:tcPr>
            <w:tcW w:w="875" w:type="dxa"/>
            <w:vMerge/>
            <w:tcBorders>
              <w:top w:val="nil"/>
              <w:left w:val="single" w:sz="4" w:space="0" w:color="auto"/>
              <w:bottom w:val="single" w:sz="4" w:space="0" w:color="000000"/>
              <w:right w:val="single" w:sz="4" w:space="0" w:color="auto"/>
            </w:tcBorders>
            <w:vAlign w:val="center"/>
            <w:hideMark/>
          </w:tcPr>
          <w:p w14:paraId="4BD1896D" w14:textId="77777777" w:rsidR="007B0A72" w:rsidRPr="007B0A72" w:rsidRDefault="007B0A72" w:rsidP="007B0A72">
            <w:pPr>
              <w:rPr>
                <w:rFonts w:eastAsia="Times New Roman"/>
                <w:color w:val="FFFFFF"/>
                <w:sz w:val="18"/>
                <w:szCs w:val="18"/>
                <w:lang w:eastAsia="en-GB"/>
              </w:rPr>
            </w:pPr>
          </w:p>
        </w:tc>
      </w:tr>
      <w:tr w:rsidR="007B0A72" w:rsidRPr="007B0A72" w14:paraId="093BC364"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3924CC54"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53BF7C9E"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741CABE3"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0AFB124A"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5CF946DF"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6220B65F"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1C0140C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Ongoing conversations with our contractors  to reduce turnaround of surveys and reports for Asbestos.</w:t>
            </w:r>
          </w:p>
        </w:tc>
        <w:tc>
          <w:tcPr>
            <w:tcW w:w="875" w:type="dxa"/>
            <w:vMerge/>
            <w:tcBorders>
              <w:top w:val="nil"/>
              <w:left w:val="single" w:sz="4" w:space="0" w:color="auto"/>
              <w:bottom w:val="single" w:sz="4" w:space="0" w:color="000000"/>
              <w:right w:val="single" w:sz="4" w:space="0" w:color="auto"/>
            </w:tcBorders>
            <w:vAlign w:val="center"/>
            <w:hideMark/>
          </w:tcPr>
          <w:p w14:paraId="771F5CE5" w14:textId="77777777" w:rsidR="007B0A72" w:rsidRPr="007B0A72" w:rsidRDefault="007B0A72" w:rsidP="007B0A72">
            <w:pPr>
              <w:rPr>
                <w:rFonts w:eastAsia="Times New Roman"/>
                <w:color w:val="FFFFFF"/>
                <w:sz w:val="18"/>
                <w:szCs w:val="18"/>
                <w:lang w:eastAsia="en-GB"/>
              </w:rPr>
            </w:pPr>
          </w:p>
        </w:tc>
      </w:tr>
      <w:tr w:rsidR="007B0A72" w:rsidRPr="007B0A72" w14:paraId="70E8AD18" w14:textId="77777777" w:rsidTr="007B0A72">
        <w:trPr>
          <w:trHeight w:val="460"/>
        </w:trPr>
        <w:tc>
          <w:tcPr>
            <w:tcW w:w="1061" w:type="dxa"/>
            <w:vMerge/>
            <w:tcBorders>
              <w:top w:val="nil"/>
              <w:left w:val="single" w:sz="4" w:space="0" w:color="auto"/>
              <w:bottom w:val="single" w:sz="4" w:space="0" w:color="000000"/>
              <w:right w:val="single" w:sz="4" w:space="0" w:color="auto"/>
            </w:tcBorders>
            <w:vAlign w:val="center"/>
            <w:hideMark/>
          </w:tcPr>
          <w:p w14:paraId="54C39317"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6DEEC94C"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7CAD50AE"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1FFD2EF4"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4EFF1756"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2B2F3023"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4C5665C9"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 Reinstating previous arrangements of tenants handing back their keys to the Contact Centre at the Library, we expect this to reduce time lost in the handover of keys from 10 days to 1. </w:t>
            </w:r>
          </w:p>
        </w:tc>
        <w:tc>
          <w:tcPr>
            <w:tcW w:w="875" w:type="dxa"/>
            <w:vMerge/>
            <w:tcBorders>
              <w:top w:val="nil"/>
              <w:left w:val="single" w:sz="4" w:space="0" w:color="auto"/>
              <w:bottom w:val="single" w:sz="4" w:space="0" w:color="000000"/>
              <w:right w:val="single" w:sz="4" w:space="0" w:color="auto"/>
            </w:tcBorders>
            <w:vAlign w:val="center"/>
            <w:hideMark/>
          </w:tcPr>
          <w:p w14:paraId="298BBD44" w14:textId="77777777" w:rsidR="007B0A72" w:rsidRPr="007B0A72" w:rsidRDefault="007B0A72" w:rsidP="007B0A72">
            <w:pPr>
              <w:rPr>
                <w:rFonts w:eastAsia="Times New Roman"/>
                <w:color w:val="FFFFFF"/>
                <w:sz w:val="18"/>
                <w:szCs w:val="18"/>
                <w:lang w:eastAsia="en-GB"/>
              </w:rPr>
            </w:pPr>
          </w:p>
        </w:tc>
      </w:tr>
      <w:tr w:rsidR="007B0A72" w:rsidRPr="007B0A72" w14:paraId="40C09667"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2945784B"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69249169"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3AEB63E1"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73637671"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49C3C6BC"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76ABF389"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3DAAB56C"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New processes have being implemented within the Allocations team to speed up offers.</w:t>
            </w:r>
          </w:p>
        </w:tc>
        <w:tc>
          <w:tcPr>
            <w:tcW w:w="875" w:type="dxa"/>
            <w:vMerge/>
            <w:tcBorders>
              <w:top w:val="nil"/>
              <w:left w:val="single" w:sz="4" w:space="0" w:color="auto"/>
              <w:bottom w:val="single" w:sz="4" w:space="0" w:color="000000"/>
              <w:right w:val="single" w:sz="4" w:space="0" w:color="auto"/>
            </w:tcBorders>
            <w:vAlign w:val="center"/>
            <w:hideMark/>
          </w:tcPr>
          <w:p w14:paraId="58FEC461" w14:textId="77777777" w:rsidR="007B0A72" w:rsidRPr="007B0A72" w:rsidRDefault="007B0A72" w:rsidP="007B0A72">
            <w:pPr>
              <w:rPr>
                <w:rFonts w:eastAsia="Times New Roman"/>
                <w:color w:val="FFFFFF"/>
                <w:sz w:val="18"/>
                <w:szCs w:val="18"/>
                <w:lang w:eastAsia="en-GB"/>
              </w:rPr>
            </w:pPr>
          </w:p>
        </w:tc>
      </w:tr>
      <w:tr w:rsidR="007B0A72" w:rsidRPr="007B0A72" w14:paraId="23FDC92A" w14:textId="77777777" w:rsidTr="007B0A72">
        <w:trPr>
          <w:trHeight w:val="280"/>
        </w:trPr>
        <w:tc>
          <w:tcPr>
            <w:tcW w:w="1061" w:type="dxa"/>
            <w:vMerge/>
            <w:tcBorders>
              <w:top w:val="nil"/>
              <w:left w:val="single" w:sz="4" w:space="0" w:color="auto"/>
              <w:bottom w:val="single" w:sz="4" w:space="0" w:color="000000"/>
              <w:right w:val="single" w:sz="4" w:space="0" w:color="auto"/>
            </w:tcBorders>
            <w:vAlign w:val="center"/>
            <w:hideMark/>
          </w:tcPr>
          <w:p w14:paraId="3756CD1A"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18073690"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67C4FD2A"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0B311FB5"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769A285C"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130B47D0"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nil"/>
              <w:right w:val="single" w:sz="4" w:space="0" w:color="auto"/>
            </w:tcBorders>
            <w:shd w:val="clear" w:color="auto" w:fill="auto"/>
            <w:hideMark/>
          </w:tcPr>
          <w:p w14:paraId="32CEA9BD"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w:t>
            </w:r>
          </w:p>
        </w:tc>
        <w:tc>
          <w:tcPr>
            <w:tcW w:w="875" w:type="dxa"/>
            <w:vMerge/>
            <w:tcBorders>
              <w:top w:val="nil"/>
              <w:left w:val="single" w:sz="4" w:space="0" w:color="auto"/>
              <w:bottom w:val="single" w:sz="4" w:space="0" w:color="000000"/>
              <w:right w:val="single" w:sz="4" w:space="0" w:color="auto"/>
            </w:tcBorders>
            <w:vAlign w:val="center"/>
            <w:hideMark/>
          </w:tcPr>
          <w:p w14:paraId="3D5293D3" w14:textId="77777777" w:rsidR="007B0A72" w:rsidRPr="007B0A72" w:rsidRDefault="007B0A72" w:rsidP="007B0A72">
            <w:pPr>
              <w:rPr>
                <w:rFonts w:eastAsia="Times New Roman"/>
                <w:color w:val="FFFFFF"/>
                <w:sz w:val="18"/>
                <w:szCs w:val="18"/>
                <w:lang w:eastAsia="en-GB"/>
              </w:rPr>
            </w:pPr>
          </w:p>
        </w:tc>
      </w:tr>
      <w:tr w:rsidR="007B0A72" w:rsidRPr="007B0A72" w14:paraId="06D53F88" w14:textId="77777777" w:rsidTr="007B0A72">
        <w:trPr>
          <w:trHeight w:val="1150"/>
        </w:trPr>
        <w:tc>
          <w:tcPr>
            <w:tcW w:w="1061" w:type="dxa"/>
            <w:vMerge/>
            <w:tcBorders>
              <w:top w:val="nil"/>
              <w:left w:val="single" w:sz="4" w:space="0" w:color="auto"/>
              <w:bottom w:val="single" w:sz="4" w:space="0" w:color="000000"/>
              <w:right w:val="single" w:sz="4" w:space="0" w:color="auto"/>
            </w:tcBorders>
            <w:vAlign w:val="center"/>
            <w:hideMark/>
          </w:tcPr>
          <w:p w14:paraId="5A1B1CFC" w14:textId="77777777" w:rsidR="007B0A72" w:rsidRPr="007B0A72" w:rsidRDefault="007B0A72" w:rsidP="007B0A72">
            <w:pPr>
              <w:rPr>
                <w:rFonts w:eastAsia="Times New Roman"/>
                <w:color w:val="000000"/>
                <w:sz w:val="18"/>
                <w:szCs w:val="18"/>
                <w:lang w:eastAsia="en-GB"/>
              </w:rPr>
            </w:pPr>
          </w:p>
        </w:tc>
        <w:tc>
          <w:tcPr>
            <w:tcW w:w="2156" w:type="dxa"/>
            <w:vMerge/>
            <w:tcBorders>
              <w:top w:val="nil"/>
              <w:left w:val="single" w:sz="4" w:space="0" w:color="auto"/>
              <w:bottom w:val="single" w:sz="4" w:space="0" w:color="000000"/>
              <w:right w:val="single" w:sz="4" w:space="0" w:color="auto"/>
            </w:tcBorders>
            <w:vAlign w:val="center"/>
            <w:hideMark/>
          </w:tcPr>
          <w:p w14:paraId="5D33C962" w14:textId="77777777" w:rsidR="007B0A72" w:rsidRPr="007B0A72" w:rsidRDefault="007B0A72" w:rsidP="007B0A72">
            <w:pPr>
              <w:rPr>
                <w:rFonts w:eastAsia="Times New Roman"/>
                <w:color w:val="444444"/>
                <w:sz w:val="18"/>
                <w:szCs w:val="18"/>
                <w:lang w:eastAsia="en-GB"/>
              </w:rPr>
            </w:pPr>
          </w:p>
        </w:tc>
        <w:tc>
          <w:tcPr>
            <w:tcW w:w="1261" w:type="dxa"/>
            <w:vMerge/>
            <w:tcBorders>
              <w:top w:val="nil"/>
              <w:left w:val="single" w:sz="4" w:space="0" w:color="auto"/>
              <w:bottom w:val="single" w:sz="4" w:space="0" w:color="000000"/>
              <w:right w:val="single" w:sz="4" w:space="0" w:color="auto"/>
            </w:tcBorders>
            <w:vAlign w:val="center"/>
            <w:hideMark/>
          </w:tcPr>
          <w:p w14:paraId="26C1ACA3" w14:textId="77777777" w:rsidR="007B0A72" w:rsidRPr="007B0A72" w:rsidRDefault="007B0A72" w:rsidP="007B0A72">
            <w:pPr>
              <w:rPr>
                <w:rFonts w:eastAsia="Times New Roman"/>
                <w:color w:val="000000"/>
                <w:sz w:val="18"/>
                <w:szCs w:val="18"/>
                <w:lang w:eastAsia="en-GB"/>
              </w:rPr>
            </w:pPr>
          </w:p>
        </w:tc>
        <w:tc>
          <w:tcPr>
            <w:tcW w:w="855" w:type="dxa"/>
            <w:vMerge/>
            <w:tcBorders>
              <w:top w:val="nil"/>
              <w:left w:val="single" w:sz="4" w:space="0" w:color="auto"/>
              <w:bottom w:val="single" w:sz="4" w:space="0" w:color="000000"/>
              <w:right w:val="single" w:sz="4" w:space="0" w:color="auto"/>
            </w:tcBorders>
            <w:vAlign w:val="center"/>
            <w:hideMark/>
          </w:tcPr>
          <w:p w14:paraId="6F08C29A" w14:textId="77777777" w:rsidR="007B0A72" w:rsidRPr="007B0A72" w:rsidRDefault="007B0A72" w:rsidP="007B0A72">
            <w:pPr>
              <w:rPr>
                <w:rFonts w:eastAsia="Times New Roman"/>
                <w:color w:val="000000"/>
                <w:sz w:val="18"/>
                <w:szCs w:val="18"/>
                <w:lang w:eastAsia="en-GB"/>
              </w:rPr>
            </w:pPr>
          </w:p>
        </w:tc>
        <w:tc>
          <w:tcPr>
            <w:tcW w:w="2407" w:type="dxa"/>
            <w:vMerge/>
            <w:tcBorders>
              <w:top w:val="nil"/>
              <w:left w:val="single" w:sz="4" w:space="0" w:color="auto"/>
              <w:bottom w:val="single" w:sz="4" w:space="0" w:color="000000"/>
              <w:right w:val="single" w:sz="4" w:space="0" w:color="auto"/>
            </w:tcBorders>
            <w:vAlign w:val="center"/>
            <w:hideMark/>
          </w:tcPr>
          <w:p w14:paraId="3E1E8289" w14:textId="77777777" w:rsidR="007B0A72" w:rsidRPr="007B0A72" w:rsidRDefault="007B0A72" w:rsidP="007B0A72">
            <w:pPr>
              <w:rPr>
                <w:rFonts w:eastAsia="Times New Roman"/>
                <w:color w:val="000000"/>
                <w:sz w:val="18"/>
                <w:szCs w:val="18"/>
                <w:lang w:eastAsia="en-GB"/>
              </w:rPr>
            </w:pPr>
          </w:p>
        </w:tc>
        <w:tc>
          <w:tcPr>
            <w:tcW w:w="914" w:type="dxa"/>
            <w:vMerge/>
            <w:tcBorders>
              <w:top w:val="nil"/>
              <w:left w:val="single" w:sz="4" w:space="0" w:color="auto"/>
              <w:bottom w:val="single" w:sz="4" w:space="0" w:color="000000"/>
              <w:right w:val="single" w:sz="4" w:space="0" w:color="auto"/>
            </w:tcBorders>
            <w:vAlign w:val="center"/>
            <w:hideMark/>
          </w:tcPr>
          <w:p w14:paraId="33828D86" w14:textId="77777777" w:rsidR="007B0A72" w:rsidRPr="007B0A72" w:rsidRDefault="007B0A72" w:rsidP="007B0A72">
            <w:pPr>
              <w:rPr>
                <w:rFonts w:eastAsia="Times New Roman"/>
                <w:b/>
                <w:bCs/>
                <w:sz w:val="18"/>
                <w:szCs w:val="18"/>
                <w:lang w:eastAsia="en-GB"/>
              </w:rPr>
            </w:pPr>
          </w:p>
        </w:tc>
        <w:tc>
          <w:tcPr>
            <w:tcW w:w="4641" w:type="dxa"/>
            <w:tcBorders>
              <w:top w:val="nil"/>
              <w:left w:val="nil"/>
              <w:bottom w:val="single" w:sz="4" w:space="0" w:color="auto"/>
              <w:right w:val="single" w:sz="4" w:space="0" w:color="auto"/>
            </w:tcBorders>
            <w:shd w:val="clear" w:color="auto" w:fill="auto"/>
            <w:hideMark/>
          </w:tcPr>
          <w:p w14:paraId="327C19A8"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The changes being implemented will reduce relet times in 2024/25 but the number of void properties that have already exceeded the target relet times in the first months of the year will mean the average number of days will gradually reduce.  </w:t>
            </w:r>
          </w:p>
        </w:tc>
        <w:tc>
          <w:tcPr>
            <w:tcW w:w="875" w:type="dxa"/>
            <w:vMerge/>
            <w:tcBorders>
              <w:top w:val="nil"/>
              <w:left w:val="single" w:sz="4" w:space="0" w:color="auto"/>
              <w:bottom w:val="single" w:sz="4" w:space="0" w:color="000000"/>
              <w:right w:val="single" w:sz="4" w:space="0" w:color="auto"/>
            </w:tcBorders>
            <w:vAlign w:val="center"/>
            <w:hideMark/>
          </w:tcPr>
          <w:p w14:paraId="5DF122E9" w14:textId="77777777" w:rsidR="007B0A72" w:rsidRPr="007B0A72" w:rsidRDefault="007B0A72" w:rsidP="007B0A72">
            <w:pPr>
              <w:rPr>
                <w:rFonts w:eastAsia="Times New Roman"/>
                <w:color w:val="FFFFFF"/>
                <w:sz w:val="18"/>
                <w:szCs w:val="18"/>
                <w:lang w:eastAsia="en-GB"/>
              </w:rPr>
            </w:pPr>
          </w:p>
        </w:tc>
      </w:tr>
      <w:tr w:rsidR="007B0A72" w:rsidRPr="007B0A72" w14:paraId="1C3F14E2" w14:textId="77777777" w:rsidTr="007B0A72">
        <w:trPr>
          <w:trHeight w:val="690"/>
        </w:trPr>
        <w:tc>
          <w:tcPr>
            <w:tcW w:w="1061" w:type="dxa"/>
            <w:tcBorders>
              <w:top w:val="nil"/>
              <w:left w:val="single" w:sz="4" w:space="0" w:color="auto"/>
              <w:bottom w:val="single" w:sz="4" w:space="0" w:color="auto"/>
              <w:right w:val="single" w:sz="4" w:space="0" w:color="auto"/>
            </w:tcBorders>
            <w:shd w:val="clear" w:color="auto" w:fill="auto"/>
            <w:noWrap/>
            <w:hideMark/>
          </w:tcPr>
          <w:p w14:paraId="3DF2F3B0"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ODS</w:t>
            </w:r>
          </w:p>
        </w:tc>
        <w:tc>
          <w:tcPr>
            <w:tcW w:w="2156" w:type="dxa"/>
            <w:tcBorders>
              <w:top w:val="nil"/>
              <w:left w:val="nil"/>
              <w:bottom w:val="single" w:sz="4" w:space="0" w:color="auto"/>
              <w:right w:val="single" w:sz="4" w:space="0" w:color="auto"/>
            </w:tcBorders>
            <w:shd w:val="clear" w:color="auto" w:fill="auto"/>
            <w:hideMark/>
          </w:tcPr>
          <w:p w14:paraId="2C7B7204"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Percentage of emergency repairs completed on time</w:t>
            </w:r>
          </w:p>
        </w:tc>
        <w:tc>
          <w:tcPr>
            <w:tcW w:w="1261" w:type="dxa"/>
            <w:tcBorders>
              <w:top w:val="nil"/>
              <w:left w:val="nil"/>
              <w:bottom w:val="single" w:sz="4" w:space="0" w:color="auto"/>
              <w:right w:val="single" w:sz="4" w:space="0" w:color="auto"/>
            </w:tcBorders>
            <w:shd w:val="clear" w:color="auto" w:fill="auto"/>
            <w:noWrap/>
            <w:hideMark/>
          </w:tcPr>
          <w:p w14:paraId="16D1DD72"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tcBorders>
              <w:top w:val="nil"/>
              <w:left w:val="nil"/>
              <w:bottom w:val="single" w:sz="4" w:space="0" w:color="auto"/>
              <w:right w:val="single" w:sz="4" w:space="0" w:color="auto"/>
            </w:tcBorders>
            <w:shd w:val="clear" w:color="auto" w:fill="auto"/>
            <w:noWrap/>
            <w:hideMark/>
          </w:tcPr>
          <w:p w14:paraId="0C2917AA"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99.60%</w:t>
            </w:r>
          </w:p>
        </w:tc>
        <w:tc>
          <w:tcPr>
            <w:tcW w:w="2407" w:type="dxa"/>
            <w:tcBorders>
              <w:top w:val="nil"/>
              <w:left w:val="nil"/>
              <w:bottom w:val="single" w:sz="4" w:space="0" w:color="auto"/>
              <w:right w:val="single" w:sz="4" w:space="0" w:color="auto"/>
            </w:tcBorders>
            <w:shd w:val="clear" w:color="auto" w:fill="auto"/>
            <w:noWrap/>
            <w:hideMark/>
          </w:tcPr>
          <w:p w14:paraId="1F7D7F8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99%</w:t>
            </w:r>
          </w:p>
        </w:tc>
        <w:tc>
          <w:tcPr>
            <w:tcW w:w="914" w:type="dxa"/>
            <w:tcBorders>
              <w:top w:val="nil"/>
              <w:left w:val="nil"/>
              <w:bottom w:val="single" w:sz="4" w:space="0" w:color="auto"/>
              <w:right w:val="single" w:sz="4" w:space="0" w:color="auto"/>
            </w:tcBorders>
            <w:shd w:val="clear" w:color="auto" w:fill="auto"/>
            <w:noWrap/>
            <w:hideMark/>
          </w:tcPr>
          <w:p w14:paraId="2C92C679"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99.70%</w:t>
            </w:r>
          </w:p>
        </w:tc>
        <w:tc>
          <w:tcPr>
            <w:tcW w:w="4641" w:type="dxa"/>
            <w:tcBorders>
              <w:top w:val="nil"/>
              <w:left w:val="nil"/>
              <w:bottom w:val="single" w:sz="4" w:space="0" w:color="auto"/>
              <w:right w:val="single" w:sz="4" w:space="0" w:color="auto"/>
            </w:tcBorders>
            <w:shd w:val="clear" w:color="auto" w:fill="auto"/>
            <w:hideMark/>
          </w:tcPr>
          <w:p w14:paraId="15D4D4A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w:t>
            </w:r>
          </w:p>
        </w:tc>
        <w:tc>
          <w:tcPr>
            <w:tcW w:w="875" w:type="dxa"/>
            <w:tcBorders>
              <w:top w:val="nil"/>
              <w:left w:val="nil"/>
              <w:bottom w:val="single" w:sz="4" w:space="0" w:color="auto"/>
              <w:right w:val="single" w:sz="4" w:space="0" w:color="auto"/>
            </w:tcBorders>
            <w:shd w:val="clear" w:color="000000" w:fill="00B050"/>
            <w:noWrap/>
            <w:hideMark/>
          </w:tcPr>
          <w:p w14:paraId="20EF6D41"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Green</w:t>
            </w:r>
          </w:p>
        </w:tc>
      </w:tr>
      <w:tr w:rsidR="007B0A72" w:rsidRPr="007B0A72" w14:paraId="31C3EE5E" w14:textId="77777777" w:rsidTr="007B0A72">
        <w:trPr>
          <w:trHeight w:val="1150"/>
        </w:trPr>
        <w:tc>
          <w:tcPr>
            <w:tcW w:w="1061" w:type="dxa"/>
            <w:tcBorders>
              <w:top w:val="nil"/>
              <w:left w:val="single" w:sz="4" w:space="0" w:color="auto"/>
              <w:bottom w:val="single" w:sz="4" w:space="0" w:color="auto"/>
              <w:right w:val="single" w:sz="4" w:space="0" w:color="auto"/>
            </w:tcBorders>
            <w:shd w:val="clear" w:color="auto" w:fill="auto"/>
            <w:noWrap/>
            <w:hideMark/>
          </w:tcPr>
          <w:p w14:paraId="3B10D368"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ODS</w:t>
            </w:r>
          </w:p>
        </w:tc>
        <w:tc>
          <w:tcPr>
            <w:tcW w:w="2156" w:type="dxa"/>
            <w:tcBorders>
              <w:top w:val="nil"/>
              <w:left w:val="nil"/>
              <w:bottom w:val="single" w:sz="4" w:space="0" w:color="auto"/>
              <w:right w:val="single" w:sz="4" w:space="0" w:color="auto"/>
            </w:tcBorders>
            <w:shd w:val="clear" w:color="auto" w:fill="auto"/>
            <w:hideMark/>
          </w:tcPr>
          <w:p w14:paraId="0F8B0431" w14:textId="3B08449C" w:rsidR="007B0A72" w:rsidRPr="007B0A72" w:rsidRDefault="00ED0EA3" w:rsidP="007B0A72">
            <w:pPr>
              <w:rPr>
                <w:rFonts w:eastAsia="Times New Roman"/>
                <w:color w:val="444444"/>
                <w:sz w:val="18"/>
                <w:szCs w:val="18"/>
                <w:lang w:eastAsia="en-GB"/>
              </w:rPr>
            </w:pPr>
            <w:r w:rsidRPr="007B0A72">
              <w:rPr>
                <w:rFonts w:eastAsia="Times New Roman"/>
                <w:color w:val="444444"/>
                <w:sz w:val="18"/>
                <w:szCs w:val="18"/>
                <w:lang w:eastAsia="en-GB"/>
              </w:rPr>
              <w:t>Proportion</w:t>
            </w:r>
            <w:r w:rsidR="007B0A72" w:rsidRPr="007B0A72">
              <w:rPr>
                <w:rFonts w:eastAsia="Times New Roman"/>
                <w:color w:val="444444"/>
                <w:sz w:val="18"/>
                <w:szCs w:val="18"/>
                <w:lang w:eastAsia="en-GB"/>
              </w:rPr>
              <w:t xml:space="preserve"> of homes for which all required gas safety checks have been carried out. </w:t>
            </w:r>
          </w:p>
        </w:tc>
        <w:tc>
          <w:tcPr>
            <w:tcW w:w="1261" w:type="dxa"/>
            <w:tcBorders>
              <w:top w:val="nil"/>
              <w:left w:val="nil"/>
              <w:bottom w:val="single" w:sz="4" w:space="0" w:color="auto"/>
              <w:right w:val="single" w:sz="4" w:space="0" w:color="auto"/>
            </w:tcBorders>
            <w:shd w:val="clear" w:color="auto" w:fill="auto"/>
            <w:noWrap/>
            <w:hideMark/>
          </w:tcPr>
          <w:p w14:paraId="632C833F"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tcBorders>
              <w:top w:val="nil"/>
              <w:left w:val="nil"/>
              <w:bottom w:val="single" w:sz="4" w:space="0" w:color="auto"/>
              <w:right w:val="single" w:sz="4" w:space="0" w:color="auto"/>
            </w:tcBorders>
            <w:shd w:val="clear" w:color="auto" w:fill="auto"/>
            <w:noWrap/>
            <w:hideMark/>
          </w:tcPr>
          <w:p w14:paraId="3DB3F19C"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100%</w:t>
            </w:r>
          </w:p>
        </w:tc>
        <w:tc>
          <w:tcPr>
            <w:tcW w:w="2407" w:type="dxa"/>
            <w:tcBorders>
              <w:top w:val="nil"/>
              <w:left w:val="nil"/>
              <w:bottom w:val="single" w:sz="4" w:space="0" w:color="auto"/>
              <w:right w:val="single" w:sz="4" w:space="0" w:color="auto"/>
            </w:tcBorders>
            <w:shd w:val="clear" w:color="auto" w:fill="auto"/>
            <w:noWrap/>
            <w:hideMark/>
          </w:tcPr>
          <w:p w14:paraId="3B48D2D3"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100%</w:t>
            </w:r>
          </w:p>
        </w:tc>
        <w:tc>
          <w:tcPr>
            <w:tcW w:w="914" w:type="dxa"/>
            <w:tcBorders>
              <w:top w:val="nil"/>
              <w:left w:val="nil"/>
              <w:bottom w:val="single" w:sz="4" w:space="0" w:color="auto"/>
              <w:right w:val="single" w:sz="4" w:space="0" w:color="auto"/>
            </w:tcBorders>
            <w:shd w:val="clear" w:color="auto" w:fill="auto"/>
            <w:noWrap/>
            <w:hideMark/>
          </w:tcPr>
          <w:p w14:paraId="73CCCAB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100.00%</w:t>
            </w:r>
          </w:p>
        </w:tc>
        <w:tc>
          <w:tcPr>
            <w:tcW w:w="4641" w:type="dxa"/>
            <w:tcBorders>
              <w:top w:val="nil"/>
              <w:left w:val="nil"/>
              <w:bottom w:val="single" w:sz="4" w:space="0" w:color="auto"/>
              <w:right w:val="single" w:sz="4" w:space="0" w:color="auto"/>
            </w:tcBorders>
            <w:shd w:val="clear" w:color="auto" w:fill="auto"/>
            <w:noWrap/>
            <w:hideMark/>
          </w:tcPr>
          <w:p w14:paraId="128A5F39"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 xml:space="preserve">We are currently 100% compliant with all gas safety checks. </w:t>
            </w:r>
          </w:p>
        </w:tc>
        <w:tc>
          <w:tcPr>
            <w:tcW w:w="875" w:type="dxa"/>
            <w:tcBorders>
              <w:top w:val="nil"/>
              <w:left w:val="nil"/>
              <w:bottom w:val="single" w:sz="4" w:space="0" w:color="auto"/>
              <w:right w:val="single" w:sz="4" w:space="0" w:color="auto"/>
            </w:tcBorders>
            <w:shd w:val="clear" w:color="000000" w:fill="00B050"/>
            <w:noWrap/>
            <w:hideMark/>
          </w:tcPr>
          <w:p w14:paraId="6173C7C6"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Green</w:t>
            </w:r>
          </w:p>
        </w:tc>
      </w:tr>
      <w:tr w:rsidR="007B0A72" w:rsidRPr="007B0A72" w14:paraId="7C0E9C86" w14:textId="77777777" w:rsidTr="007B0A72">
        <w:trPr>
          <w:trHeight w:val="690"/>
        </w:trPr>
        <w:tc>
          <w:tcPr>
            <w:tcW w:w="1061" w:type="dxa"/>
            <w:tcBorders>
              <w:top w:val="nil"/>
              <w:left w:val="single" w:sz="4" w:space="0" w:color="auto"/>
              <w:bottom w:val="single" w:sz="4" w:space="0" w:color="auto"/>
              <w:right w:val="single" w:sz="4" w:space="0" w:color="auto"/>
            </w:tcBorders>
            <w:shd w:val="clear" w:color="auto" w:fill="auto"/>
            <w:hideMark/>
          </w:tcPr>
          <w:p w14:paraId="449C5428"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Financial Services</w:t>
            </w:r>
          </w:p>
        </w:tc>
        <w:tc>
          <w:tcPr>
            <w:tcW w:w="2156" w:type="dxa"/>
            <w:tcBorders>
              <w:top w:val="nil"/>
              <w:left w:val="nil"/>
              <w:bottom w:val="single" w:sz="4" w:space="0" w:color="auto"/>
              <w:right w:val="single" w:sz="4" w:space="0" w:color="auto"/>
            </w:tcBorders>
            <w:shd w:val="clear" w:color="auto" w:fill="auto"/>
            <w:hideMark/>
          </w:tcPr>
          <w:p w14:paraId="3C554B5D" w14:textId="77777777" w:rsidR="007B0A72" w:rsidRPr="007B0A72" w:rsidRDefault="007B0A72" w:rsidP="007B0A72">
            <w:pPr>
              <w:rPr>
                <w:rFonts w:eastAsia="Times New Roman"/>
                <w:color w:val="444444"/>
                <w:sz w:val="18"/>
                <w:szCs w:val="18"/>
                <w:lang w:eastAsia="en-GB"/>
              </w:rPr>
            </w:pPr>
            <w:r w:rsidRPr="007B0A72">
              <w:rPr>
                <w:rFonts w:eastAsia="Times New Roman"/>
                <w:color w:val="444444"/>
                <w:sz w:val="18"/>
                <w:szCs w:val="18"/>
                <w:lang w:eastAsia="en-GB"/>
              </w:rPr>
              <w:t xml:space="preserve">Rent collected (as a percentage of rent collectable) </w:t>
            </w:r>
          </w:p>
        </w:tc>
        <w:tc>
          <w:tcPr>
            <w:tcW w:w="1261" w:type="dxa"/>
            <w:tcBorders>
              <w:top w:val="nil"/>
              <w:left w:val="nil"/>
              <w:bottom w:val="single" w:sz="4" w:space="0" w:color="auto"/>
              <w:right w:val="single" w:sz="4" w:space="0" w:color="auto"/>
            </w:tcBorders>
            <w:shd w:val="clear" w:color="auto" w:fill="auto"/>
            <w:noWrap/>
            <w:hideMark/>
          </w:tcPr>
          <w:p w14:paraId="2F38F78B"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xml:space="preserve">Quarterly </w:t>
            </w:r>
          </w:p>
        </w:tc>
        <w:tc>
          <w:tcPr>
            <w:tcW w:w="855" w:type="dxa"/>
            <w:tcBorders>
              <w:top w:val="nil"/>
              <w:left w:val="nil"/>
              <w:bottom w:val="single" w:sz="4" w:space="0" w:color="auto"/>
              <w:right w:val="nil"/>
            </w:tcBorders>
            <w:shd w:val="clear" w:color="auto" w:fill="auto"/>
            <w:noWrap/>
            <w:hideMark/>
          </w:tcPr>
          <w:p w14:paraId="377D5149"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99.52%</w:t>
            </w:r>
          </w:p>
        </w:tc>
        <w:tc>
          <w:tcPr>
            <w:tcW w:w="2407" w:type="dxa"/>
            <w:tcBorders>
              <w:top w:val="nil"/>
              <w:left w:val="single" w:sz="4" w:space="0" w:color="auto"/>
              <w:bottom w:val="single" w:sz="4" w:space="0" w:color="auto"/>
              <w:right w:val="single" w:sz="4" w:space="0" w:color="auto"/>
            </w:tcBorders>
            <w:shd w:val="clear" w:color="auto" w:fill="auto"/>
            <w:noWrap/>
            <w:hideMark/>
          </w:tcPr>
          <w:p w14:paraId="5DA4236D"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98.00%</w:t>
            </w:r>
          </w:p>
        </w:tc>
        <w:tc>
          <w:tcPr>
            <w:tcW w:w="914" w:type="dxa"/>
            <w:tcBorders>
              <w:top w:val="nil"/>
              <w:left w:val="nil"/>
              <w:bottom w:val="single" w:sz="4" w:space="0" w:color="auto"/>
              <w:right w:val="single" w:sz="4" w:space="0" w:color="auto"/>
            </w:tcBorders>
            <w:shd w:val="clear" w:color="auto" w:fill="auto"/>
            <w:noWrap/>
            <w:hideMark/>
          </w:tcPr>
          <w:p w14:paraId="7CEFF87E"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98.16%</w:t>
            </w:r>
          </w:p>
        </w:tc>
        <w:tc>
          <w:tcPr>
            <w:tcW w:w="4641" w:type="dxa"/>
            <w:tcBorders>
              <w:top w:val="nil"/>
              <w:left w:val="nil"/>
              <w:bottom w:val="single" w:sz="4" w:space="0" w:color="auto"/>
              <w:right w:val="single" w:sz="4" w:space="0" w:color="auto"/>
            </w:tcBorders>
            <w:shd w:val="clear" w:color="auto" w:fill="auto"/>
            <w:hideMark/>
          </w:tcPr>
          <w:p w14:paraId="1D1CE932" w14:textId="77777777" w:rsidR="007B0A72" w:rsidRPr="007B0A72" w:rsidRDefault="007B0A72" w:rsidP="007B0A72">
            <w:pPr>
              <w:rPr>
                <w:rFonts w:eastAsia="Times New Roman"/>
                <w:color w:val="000000"/>
                <w:sz w:val="18"/>
                <w:szCs w:val="18"/>
                <w:lang w:eastAsia="en-GB"/>
              </w:rPr>
            </w:pPr>
            <w:r w:rsidRPr="007B0A72">
              <w:rPr>
                <w:rFonts w:eastAsia="Times New Roman"/>
                <w:color w:val="000000"/>
                <w:sz w:val="18"/>
                <w:szCs w:val="18"/>
                <w:lang w:eastAsia="en-GB"/>
              </w:rPr>
              <w:t> </w:t>
            </w:r>
          </w:p>
        </w:tc>
        <w:tc>
          <w:tcPr>
            <w:tcW w:w="875" w:type="dxa"/>
            <w:tcBorders>
              <w:top w:val="nil"/>
              <w:left w:val="nil"/>
              <w:bottom w:val="single" w:sz="4" w:space="0" w:color="auto"/>
              <w:right w:val="single" w:sz="4" w:space="0" w:color="auto"/>
            </w:tcBorders>
            <w:shd w:val="clear" w:color="000000" w:fill="00B050"/>
            <w:noWrap/>
            <w:hideMark/>
          </w:tcPr>
          <w:p w14:paraId="792ADA88" w14:textId="77777777" w:rsidR="007B0A72" w:rsidRPr="007B0A72" w:rsidRDefault="007B0A72" w:rsidP="007B0A72">
            <w:pPr>
              <w:rPr>
                <w:rFonts w:eastAsia="Times New Roman"/>
                <w:color w:val="FFFFFF"/>
                <w:sz w:val="18"/>
                <w:szCs w:val="18"/>
                <w:lang w:eastAsia="en-GB"/>
              </w:rPr>
            </w:pPr>
            <w:r w:rsidRPr="007B0A72">
              <w:rPr>
                <w:rFonts w:eastAsia="Times New Roman"/>
                <w:color w:val="FFFFFF"/>
                <w:sz w:val="18"/>
                <w:szCs w:val="18"/>
                <w:lang w:eastAsia="en-GB"/>
              </w:rPr>
              <w:t>Green</w:t>
            </w:r>
          </w:p>
        </w:tc>
      </w:tr>
    </w:tbl>
    <w:p w14:paraId="114F584A" w14:textId="77777777" w:rsidR="008A22C6" w:rsidRPr="003C6569" w:rsidRDefault="008A22C6" w:rsidP="003C6569"/>
    <w:sectPr w:rsidR="008A22C6" w:rsidRPr="003C6569" w:rsidSect="004808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8A"/>
    <w:rsid w:val="000466C1"/>
    <w:rsid w:val="000B4310"/>
    <w:rsid w:val="0015323C"/>
    <w:rsid w:val="001A5AB9"/>
    <w:rsid w:val="001F32A1"/>
    <w:rsid w:val="00213389"/>
    <w:rsid w:val="00251A7A"/>
    <w:rsid w:val="00283A0B"/>
    <w:rsid w:val="00302161"/>
    <w:rsid w:val="00336EF1"/>
    <w:rsid w:val="0034624B"/>
    <w:rsid w:val="003A0449"/>
    <w:rsid w:val="003C6569"/>
    <w:rsid w:val="003E0055"/>
    <w:rsid w:val="004000D7"/>
    <w:rsid w:val="00420DDC"/>
    <w:rsid w:val="00480869"/>
    <w:rsid w:val="00504E43"/>
    <w:rsid w:val="00516AEA"/>
    <w:rsid w:val="00564C79"/>
    <w:rsid w:val="00582365"/>
    <w:rsid w:val="005B0992"/>
    <w:rsid w:val="005F17FD"/>
    <w:rsid w:val="00623B8E"/>
    <w:rsid w:val="006E2AC6"/>
    <w:rsid w:val="006E640A"/>
    <w:rsid w:val="00735E12"/>
    <w:rsid w:val="0074577D"/>
    <w:rsid w:val="00754779"/>
    <w:rsid w:val="007908F4"/>
    <w:rsid w:val="00797391"/>
    <w:rsid w:val="007A7CEA"/>
    <w:rsid w:val="007B0A72"/>
    <w:rsid w:val="007C0624"/>
    <w:rsid w:val="0080461E"/>
    <w:rsid w:val="008640BE"/>
    <w:rsid w:val="00891B5E"/>
    <w:rsid w:val="008A22C6"/>
    <w:rsid w:val="008B5F59"/>
    <w:rsid w:val="008E726E"/>
    <w:rsid w:val="008F310A"/>
    <w:rsid w:val="008F39F5"/>
    <w:rsid w:val="0091487E"/>
    <w:rsid w:val="00926CCF"/>
    <w:rsid w:val="009940B7"/>
    <w:rsid w:val="009B10A8"/>
    <w:rsid w:val="009D5103"/>
    <w:rsid w:val="009D5FF8"/>
    <w:rsid w:val="00A76D9A"/>
    <w:rsid w:val="00AE1ED6"/>
    <w:rsid w:val="00AF2C06"/>
    <w:rsid w:val="00B91F37"/>
    <w:rsid w:val="00B93906"/>
    <w:rsid w:val="00B961E7"/>
    <w:rsid w:val="00BD1C4E"/>
    <w:rsid w:val="00C01EC6"/>
    <w:rsid w:val="00C07F80"/>
    <w:rsid w:val="00C47E4E"/>
    <w:rsid w:val="00C56898"/>
    <w:rsid w:val="00C65212"/>
    <w:rsid w:val="00C772E1"/>
    <w:rsid w:val="00D029F4"/>
    <w:rsid w:val="00D17FFB"/>
    <w:rsid w:val="00DC29BD"/>
    <w:rsid w:val="00DE4092"/>
    <w:rsid w:val="00E454F5"/>
    <w:rsid w:val="00ED0EA3"/>
    <w:rsid w:val="00ED7837"/>
    <w:rsid w:val="00F67512"/>
    <w:rsid w:val="00F75926"/>
    <w:rsid w:val="00FA2334"/>
    <w:rsid w:val="00FA508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F891"/>
  <w15:chartTrackingRefBased/>
  <w15:docId w15:val="{7B4DFAA9-3D6D-4697-8B54-BE97197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4119">
      <w:bodyDiv w:val="1"/>
      <w:marLeft w:val="0"/>
      <w:marRight w:val="0"/>
      <w:marTop w:val="0"/>
      <w:marBottom w:val="0"/>
      <w:divBdr>
        <w:top w:val="none" w:sz="0" w:space="0" w:color="auto"/>
        <w:left w:val="none" w:sz="0" w:space="0" w:color="auto"/>
        <w:bottom w:val="none" w:sz="0" w:space="0" w:color="auto"/>
        <w:right w:val="none" w:sz="0" w:space="0" w:color="auto"/>
      </w:divBdr>
    </w:div>
    <w:div w:id="339233758">
      <w:bodyDiv w:val="1"/>
      <w:marLeft w:val="0"/>
      <w:marRight w:val="0"/>
      <w:marTop w:val="0"/>
      <w:marBottom w:val="0"/>
      <w:divBdr>
        <w:top w:val="none" w:sz="0" w:space="0" w:color="auto"/>
        <w:left w:val="none" w:sz="0" w:space="0" w:color="auto"/>
        <w:bottom w:val="none" w:sz="0" w:space="0" w:color="auto"/>
        <w:right w:val="none" w:sz="0" w:space="0" w:color="auto"/>
      </w:divBdr>
      <w:divsChild>
        <w:div w:id="115031360">
          <w:marLeft w:val="0"/>
          <w:marRight w:val="0"/>
          <w:marTop w:val="0"/>
          <w:marBottom w:val="0"/>
          <w:divBdr>
            <w:top w:val="none" w:sz="0" w:space="0" w:color="auto"/>
            <w:left w:val="none" w:sz="0" w:space="0" w:color="auto"/>
            <w:bottom w:val="none" w:sz="0" w:space="0" w:color="auto"/>
            <w:right w:val="none" w:sz="0" w:space="0" w:color="auto"/>
          </w:divBdr>
        </w:div>
      </w:divsChild>
    </w:div>
    <w:div w:id="551307502">
      <w:bodyDiv w:val="1"/>
      <w:marLeft w:val="0"/>
      <w:marRight w:val="0"/>
      <w:marTop w:val="0"/>
      <w:marBottom w:val="0"/>
      <w:divBdr>
        <w:top w:val="none" w:sz="0" w:space="0" w:color="auto"/>
        <w:left w:val="none" w:sz="0" w:space="0" w:color="auto"/>
        <w:bottom w:val="none" w:sz="0" w:space="0" w:color="auto"/>
        <w:right w:val="none" w:sz="0" w:space="0" w:color="auto"/>
      </w:divBdr>
      <w:divsChild>
        <w:div w:id="748187239">
          <w:marLeft w:val="0"/>
          <w:marRight w:val="0"/>
          <w:marTop w:val="0"/>
          <w:marBottom w:val="0"/>
          <w:divBdr>
            <w:top w:val="none" w:sz="0" w:space="0" w:color="auto"/>
            <w:left w:val="none" w:sz="0" w:space="0" w:color="auto"/>
            <w:bottom w:val="none" w:sz="0" w:space="0" w:color="auto"/>
            <w:right w:val="none" w:sz="0" w:space="0" w:color="auto"/>
          </w:divBdr>
        </w:div>
      </w:divsChild>
    </w:div>
    <w:div w:id="1120491584">
      <w:bodyDiv w:val="1"/>
      <w:marLeft w:val="0"/>
      <w:marRight w:val="0"/>
      <w:marTop w:val="0"/>
      <w:marBottom w:val="0"/>
      <w:divBdr>
        <w:top w:val="none" w:sz="0" w:space="0" w:color="auto"/>
        <w:left w:val="none" w:sz="0" w:space="0" w:color="auto"/>
        <w:bottom w:val="none" w:sz="0" w:space="0" w:color="auto"/>
        <w:right w:val="none" w:sz="0" w:space="0" w:color="auto"/>
      </w:divBdr>
    </w:div>
    <w:div w:id="1300106593">
      <w:bodyDiv w:val="1"/>
      <w:marLeft w:val="0"/>
      <w:marRight w:val="0"/>
      <w:marTop w:val="0"/>
      <w:marBottom w:val="0"/>
      <w:divBdr>
        <w:top w:val="none" w:sz="0" w:space="0" w:color="auto"/>
        <w:left w:val="none" w:sz="0" w:space="0" w:color="auto"/>
        <w:bottom w:val="none" w:sz="0" w:space="0" w:color="auto"/>
        <w:right w:val="none" w:sz="0" w:space="0" w:color="auto"/>
      </w:divBdr>
      <w:divsChild>
        <w:div w:id="758211941">
          <w:marLeft w:val="0"/>
          <w:marRight w:val="0"/>
          <w:marTop w:val="0"/>
          <w:marBottom w:val="0"/>
          <w:divBdr>
            <w:top w:val="none" w:sz="0" w:space="0" w:color="auto"/>
            <w:left w:val="none" w:sz="0" w:space="0" w:color="auto"/>
            <w:bottom w:val="none" w:sz="0" w:space="0" w:color="auto"/>
            <w:right w:val="none" w:sz="0" w:space="0" w:color="auto"/>
          </w:divBdr>
        </w:div>
      </w:divsChild>
    </w:div>
    <w:div w:id="1362246956">
      <w:bodyDiv w:val="1"/>
      <w:marLeft w:val="0"/>
      <w:marRight w:val="0"/>
      <w:marTop w:val="0"/>
      <w:marBottom w:val="0"/>
      <w:divBdr>
        <w:top w:val="none" w:sz="0" w:space="0" w:color="auto"/>
        <w:left w:val="none" w:sz="0" w:space="0" w:color="auto"/>
        <w:bottom w:val="none" w:sz="0" w:space="0" w:color="auto"/>
        <w:right w:val="none" w:sz="0" w:space="0" w:color="auto"/>
      </w:divBdr>
    </w:div>
    <w:div w:id="1392919171">
      <w:bodyDiv w:val="1"/>
      <w:marLeft w:val="0"/>
      <w:marRight w:val="0"/>
      <w:marTop w:val="0"/>
      <w:marBottom w:val="0"/>
      <w:divBdr>
        <w:top w:val="none" w:sz="0" w:space="0" w:color="auto"/>
        <w:left w:val="none" w:sz="0" w:space="0" w:color="auto"/>
        <w:bottom w:val="none" w:sz="0" w:space="0" w:color="auto"/>
        <w:right w:val="none" w:sz="0" w:space="0" w:color="auto"/>
      </w:divBdr>
      <w:divsChild>
        <w:div w:id="1235507249">
          <w:marLeft w:val="0"/>
          <w:marRight w:val="0"/>
          <w:marTop w:val="0"/>
          <w:marBottom w:val="0"/>
          <w:divBdr>
            <w:top w:val="none" w:sz="0" w:space="0" w:color="auto"/>
            <w:left w:val="none" w:sz="0" w:space="0" w:color="auto"/>
            <w:bottom w:val="none" w:sz="0" w:space="0" w:color="auto"/>
            <w:right w:val="none" w:sz="0" w:space="0" w:color="auto"/>
          </w:divBdr>
        </w:div>
      </w:divsChild>
    </w:div>
    <w:div w:id="1662537928">
      <w:bodyDiv w:val="1"/>
      <w:marLeft w:val="0"/>
      <w:marRight w:val="0"/>
      <w:marTop w:val="0"/>
      <w:marBottom w:val="0"/>
      <w:divBdr>
        <w:top w:val="none" w:sz="0" w:space="0" w:color="auto"/>
        <w:left w:val="none" w:sz="0" w:space="0" w:color="auto"/>
        <w:bottom w:val="none" w:sz="0" w:space="0" w:color="auto"/>
        <w:right w:val="none" w:sz="0" w:space="0" w:color="auto"/>
      </w:divBdr>
      <w:divsChild>
        <w:div w:id="31616193">
          <w:marLeft w:val="0"/>
          <w:marRight w:val="0"/>
          <w:marTop w:val="0"/>
          <w:marBottom w:val="0"/>
          <w:divBdr>
            <w:top w:val="none" w:sz="0" w:space="0" w:color="auto"/>
            <w:left w:val="none" w:sz="0" w:space="0" w:color="auto"/>
            <w:bottom w:val="none" w:sz="0" w:space="0" w:color="auto"/>
            <w:right w:val="none" w:sz="0" w:space="0" w:color="auto"/>
          </w:divBdr>
        </w:div>
      </w:divsChild>
    </w:div>
    <w:div w:id="1816332753">
      <w:bodyDiv w:val="1"/>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2100829026">
      <w:bodyDiv w:val="1"/>
      <w:marLeft w:val="0"/>
      <w:marRight w:val="0"/>
      <w:marTop w:val="0"/>
      <w:marBottom w:val="0"/>
      <w:divBdr>
        <w:top w:val="none" w:sz="0" w:space="0" w:color="auto"/>
        <w:left w:val="none" w:sz="0" w:space="0" w:color="auto"/>
        <w:bottom w:val="none" w:sz="0" w:space="0" w:color="auto"/>
        <w:right w:val="none" w:sz="0" w:space="0" w:color="auto"/>
      </w:divBdr>
      <w:divsChild>
        <w:div w:id="10637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7963</Characters>
  <Application>Microsoft Office Word</Application>
  <DocSecurity>0</DocSecurity>
  <Lines>66</Lines>
  <Paragraphs>18</Paragraphs>
  <ScaleCrop>false</ScaleCrop>
  <Company>Oxford City Council</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Tom</dc:creator>
  <cp:keywords/>
  <dc:description/>
  <cp:lastModifiedBy>PORTER Tom</cp:lastModifiedBy>
  <cp:revision>2</cp:revision>
  <dcterms:created xsi:type="dcterms:W3CDTF">2024-06-25T12:34:00Z</dcterms:created>
  <dcterms:modified xsi:type="dcterms:W3CDTF">2024-06-25T12:34:00Z</dcterms:modified>
</cp:coreProperties>
</file>